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43" w:rsidRPr="00055C21" w:rsidRDefault="00E16A43" w:rsidP="00E16A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055C2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             к постановлению администрации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                    городского округа город Стерлитамак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Республики Башкортостан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</w:t>
      </w:r>
      <w:r w:rsidRPr="00055C21">
        <w:rPr>
          <w:sz w:val="24"/>
          <w:szCs w:val="24"/>
        </w:rPr>
        <w:t xml:space="preserve"> от ______________ № _______</w:t>
      </w:r>
    </w:p>
    <w:p w:rsidR="00E16A43" w:rsidRDefault="00E16A43" w:rsidP="009767AA">
      <w:pPr>
        <w:pStyle w:val="a7"/>
      </w:pPr>
    </w:p>
    <w:p w:rsidR="0036591D" w:rsidRDefault="0036591D" w:rsidP="009767AA">
      <w:pPr>
        <w:pStyle w:val="a7"/>
      </w:pPr>
      <w:r>
        <w:t xml:space="preserve">Сценарные условия </w:t>
      </w:r>
    </w:p>
    <w:p w:rsidR="0036591D" w:rsidRDefault="0036591D" w:rsidP="009767AA">
      <w:pPr>
        <w:pStyle w:val="a7"/>
      </w:pPr>
      <w:r>
        <w:t xml:space="preserve">функционирования экономики </w:t>
      </w:r>
      <w:r w:rsidR="009767AA">
        <w:t>городского округа город Стерлитамак</w:t>
      </w:r>
    </w:p>
    <w:p w:rsidR="009767AA" w:rsidRDefault="0036591D" w:rsidP="009767AA">
      <w:pPr>
        <w:pStyle w:val="a7"/>
      </w:pPr>
      <w:r>
        <w:t xml:space="preserve">Республики </w:t>
      </w:r>
      <w:proofErr w:type="gramStart"/>
      <w:r>
        <w:t xml:space="preserve">Башкортостан </w:t>
      </w:r>
      <w:r w:rsidR="00D520B6">
        <w:t xml:space="preserve"> на</w:t>
      </w:r>
      <w:proofErr w:type="gramEnd"/>
      <w:r w:rsidR="00D520B6">
        <w:t xml:space="preserve"> 202</w:t>
      </w:r>
      <w:r w:rsidR="00851DE8">
        <w:t>1</w:t>
      </w:r>
      <w:r w:rsidR="00D520B6">
        <w:t>-202</w:t>
      </w:r>
      <w:r w:rsidR="00851DE8">
        <w:t>3</w:t>
      </w:r>
      <w:r w:rsidR="009767AA">
        <w:t xml:space="preserve"> г</w:t>
      </w:r>
      <w:r>
        <w:t>оды</w:t>
      </w:r>
    </w:p>
    <w:p w:rsidR="009767AA" w:rsidRDefault="009767AA" w:rsidP="009767AA">
      <w:pPr>
        <w:ind w:firstLine="708"/>
        <w:jc w:val="center"/>
        <w:rPr>
          <w:sz w:val="28"/>
          <w:szCs w:val="28"/>
        </w:rPr>
      </w:pPr>
    </w:p>
    <w:p w:rsidR="00851DE8" w:rsidRDefault="00851DE8" w:rsidP="00851DE8">
      <w:pPr>
        <w:pStyle w:val="22"/>
        <w:shd w:val="clear" w:color="auto" w:fill="auto"/>
        <w:spacing w:before="0" w:line="276" w:lineRule="auto"/>
        <w:ind w:firstLine="6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Прогноз социально-экономического развития</w:t>
      </w:r>
      <w:r>
        <w:rPr>
          <w:sz w:val="28"/>
          <w:szCs w:val="28"/>
        </w:rPr>
        <w:t xml:space="preserve"> городского округа </w:t>
      </w:r>
      <w:proofErr w:type="gramStart"/>
      <w:r>
        <w:rPr>
          <w:sz w:val="28"/>
          <w:szCs w:val="28"/>
        </w:rPr>
        <w:t>город  Стерлитамак</w:t>
      </w:r>
      <w:proofErr w:type="gramEnd"/>
      <w:r>
        <w:rPr>
          <w:sz w:val="28"/>
          <w:szCs w:val="28"/>
        </w:rPr>
        <w:t xml:space="preserve">  Республики Башкортостан</w:t>
      </w:r>
      <w:r>
        <w:rPr>
          <w:color w:val="000000"/>
          <w:sz w:val="28"/>
          <w:szCs w:val="28"/>
          <w:lang w:bidi="ru-RU"/>
        </w:rPr>
        <w:t xml:space="preserve"> разработан в 3-</w:t>
      </w:r>
      <w:r>
        <w:rPr>
          <w:color w:val="000000"/>
          <w:sz w:val="28"/>
          <w:szCs w:val="28"/>
          <w:lang w:bidi="ru-RU"/>
        </w:rPr>
        <w:softHyphen/>
        <w:t>х вариантах: базовый, консервативный и целевой.</w:t>
      </w:r>
    </w:p>
    <w:p w:rsidR="00851DE8" w:rsidRDefault="00851DE8" w:rsidP="00851DE8">
      <w:pPr>
        <w:pStyle w:val="22"/>
        <w:shd w:val="clear" w:color="auto" w:fill="auto"/>
        <w:spacing w:before="0" w:line="276" w:lineRule="auto"/>
        <w:ind w:firstLine="6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Различия в количественных оценках этих вариантов определяются степенью выполнения поставленных задач в результате воздействия благоприятных и неблагоприятных тенденций и факторов социально-экономического развития.</w:t>
      </w:r>
    </w:p>
    <w:p w:rsidR="00851DE8" w:rsidRDefault="00851DE8" w:rsidP="00851DE8">
      <w:pPr>
        <w:pStyle w:val="22"/>
        <w:shd w:val="clear" w:color="auto" w:fill="auto"/>
        <w:spacing w:before="0" w:line="276" w:lineRule="auto"/>
        <w:ind w:firstLine="600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Исходя из прогноза основных показателей, социально-экономическое развитие городского округа </w:t>
      </w:r>
      <w:proofErr w:type="gramStart"/>
      <w:r>
        <w:rPr>
          <w:color w:val="000000"/>
          <w:sz w:val="28"/>
          <w:szCs w:val="28"/>
          <w:lang w:bidi="ru-RU"/>
        </w:rPr>
        <w:t>город  Стерлитамак</w:t>
      </w:r>
      <w:proofErr w:type="gramEnd"/>
      <w:r>
        <w:rPr>
          <w:color w:val="000000"/>
          <w:sz w:val="28"/>
          <w:szCs w:val="28"/>
          <w:lang w:bidi="ru-RU"/>
        </w:rPr>
        <w:t xml:space="preserve">  в 2021 году и в период  до 2023 года   будет развиваться  по  базовому (бюджетному варианту), основанном на относительно устойчивой комбинации внешних и внутренних условий.  По оценке 2020 года объем отгруженных товаров собственного производства, выполненных работ и услуг собственными силами по чистому виду экономической деятельности «Промышленное производство» по полному кругу организаций составит </w:t>
      </w:r>
      <w:r>
        <w:rPr>
          <w:sz w:val="28"/>
          <w:szCs w:val="28"/>
          <w:lang w:bidi="ru-RU"/>
        </w:rPr>
        <w:t xml:space="preserve">114,8 </w:t>
      </w:r>
      <w:proofErr w:type="spellStart"/>
      <w:r>
        <w:rPr>
          <w:sz w:val="28"/>
          <w:szCs w:val="28"/>
          <w:lang w:bidi="ru-RU"/>
        </w:rPr>
        <w:t>млрд.руб</w:t>
      </w:r>
      <w:proofErr w:type="spellEnd"/>
      <w:r>
        <w:rPr>
          <w:sz w:val="28"/>
          <w:szCs w:val="28"/>
          <w:lang w:bidi="ru-RU"/>
        </w:rPr>
        <w:t xml:space="preserve">. в действующих ценах, по крупным и средним организациям 112,2 </w:t>
      </w:r>
      <w:proofErr w:type="spellStart"/>
      <w:r>
        <w:rPr>
          <w:sz w:val="28"/>
          <w:szCs w:val="28"/>
          <w:lang w:bidi="ru-RU"/>
        </w:rPr>
        <w:t>млрд.руб</w:t>
      </w:r>
      <w:proofErr w:type="spellEnd"/>
      <w:r>
        <w:rPr>
          <w:sz w:val="28"/>
          <w:szCs w:val="28"/>
          <w:lang w:bidi="ru-RU"/>
        </w:rPr>
        <w:t xml:space="preserve">. в действующих ценах, в сопоставимой оценке увеличение к 2019 году на 3% или 3,4 </w:t>
      </w:r>
      <w:proofErr w:type="spellStart"/>
      <w:r>
        <w:rPr>
          <w:sz w:val="28"/>
          <w:szCs w:val="28"/>
          <w:lang w:bidi="ru-RU"/>
        </w:rPr>
        <w:t>млрд.рублей</w:t>
      </w:r>
      <w:proofErr w:type="spellEnd"/>
      <w:r>
        <w:rPr>
          <w:sz w:val="28"/>
          <w:szCs w:val="28"/>
          <w:lang w:bidi="ru-RU"/>
        </w:rPr>
        <w:t xml:space="preserve">. Наблюдается динамика снижения объемов производства и </w:t>
      </w:r>
      <w:proofErr w:type="gramStart"/>
      <w:r>
        <w:rPr>
          <w:sz w:val="28"/>
          <w:szCs w:val="28"/>
          <w:lang w:bidi="ru-RU"/>
        </w:rPr>
        <w:t>отгрузки  в</w:t>
      </w:r>
      <w:proofErr w:type="gramEnd"/>
      <w:r>
        <w:rPr>
          <w:sz w:val="28"/>
          <w:szCs w:val="28"/>
          <w:lang w:bidi="ru-RU"/>
        </w:rPr>
        <w:t xml:space="preserve"> сфере обеспечения электрической энергии, газа, пара, кондиционирования воздуха, водоснабжения, водоотведения. Одной из причин является снижение физического объема потребления энергоресурсов, в связи с массовым применением энергосберегающих технологий.</w:t>
      </w:r>
    </w:p>
    <w:p w:rsidR="00851DE8" w:rsidRDefault="00851DE8" w:rsidP="00851DE8">
      <w:pPr>
        <w:pStyle w:val="22"/>
        <w:shd w:val="clear" w:color="auto" w:fill="auto"/>
        <w:spacing w:before="0" w:line="276" w:lineRule="auto"/>
        <w:ind w:firstLine="60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перспективе </w:t>
      </w:r>
      <w:proofErr w:type="gramStart"/>
      <w:r>
        <w:rPr>
          <w:sz w:val="28"/>
          <w:szCs w:val="28"/>
          <w:lang w:bidi="ru-RU"/>
        </w:rPr>
        <w:t>на  2021</w:t>
      </w:r>
      <w:proofErr w:type="gramEnd"/>
      <w:r>
        <w:rPr>
          <w:sz w:val="28"/>
          <w:szCs w:val="28"/>
          <w:lang w:bidi="ru-RU"/>
        </w:rPr>
        <w:t>-2023 годы по чистому виду экономической деятельности «Промышленное производство» по полному кругу предприятий прогнозируется  рост объема отгруженных товаров, работ</w:t>
      </w:r>
      <w:r>
        <w:rPr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и услуг в сопоставимой оценке от 113,7 </w:t>
      </w:r>
      <w:proofErr w:type="spellStart"/>
      <w:r>
        <w:rPr>
          <w:sz w:val="28"/>
          <w:szCs w:val="28"/>
          <w:lang w:bidi="ru-RU"/>
        </w:rPr>
        <w:t>млрд.рублей</w:t>
      </w:r>
      <w:proofErr w:type="spellEnd"/>
      <w:r>
        <w:rPr>
          <w:sz w:val="28"/>
          <w:szCs w:val="28"/>
          <w:lang w:bidi="ru-RU"/>
        </w:rPr>
        <w:t xml:space="preserve"> до 114,4 </w:t>
      </w:r>
      <w:proofErr w:type="spellStart"/>
      <w:r>
        <w:rPr>
          <w:sz w:val="28"/>
          <w:szCs w:val="28"/>
          <w:lang w:bidi="ru-RU"/>
        </w:rPr>
        <w:t>млрд.рублей</w:t>
      </w:r>
      <w:proofErr w:type="spellEnd"/>
      <w:r>
        <w:rPr>
          <w:sz w:val="28"/>
          <w:szCs w:val="28"/>
          <w:lang w:bidi="ru-RU"/>
        </w:rPr>
        <w:t xml:space="preserve"> (+0,6%) по консервативному варианту, от 116,2 </w:t>
      </w:r>
      <w:proofErr w:type="spellStart"/>
      <w:r>
        <w:rPr>
          <w:sz w:val="28"/>
          <w:szCs w:val="28"/>
          <w:lang w:bidi="ru-RU"/>
        </w:rPr>
        <w:t>млрд.рублей</w:t>
      </w:r>
      <w:proofErr w:type="spellEnd"/>
      <w:r>
        <w:rPr>
          <w:sz w:val="28"/>
          <w:szCs w:val="28"/>
          <w:lang w:bidi="ru-RU"/>
        </w:rPr>
        <w:t xml:space="preserve"> до 117,7 </w:t>
      </w:r>
      <w:proofErr w:type="spellStart"/>
      <w:r>
        <w:rPr>
          <w:sz w:val="28"/>
          <w:szCs w:val="28"/>
          <w:lang w:bidi="ru-RU"/>
        </w:rPr>
        <w:t>млрд.рублей</w:t>
      </w:r>
      <w:proofErr w:type="spellEnd"/>
      <w:r>
        <w:rPr>
          <w:sz w:val="28"/>
          <w:szCs w:val="28"/>
          <w:lang w:bidi="ru-RU"/>
        </w:rPr>
        <w:t xml:space="preserve"> (+1,2%) по базовому варианту, 121,4 </w:t>
      </w:r>
      <w:proofErr w:type="spellStart"/>
      <w:r>
        <w:rPr>
          <w:sz w:val="28"/>
          <w:szCs w:val="28"/>
          <w:lang w:bidi="ru-RU"/>
        </w:rPr>
        <w:t>млрд.рублей</w:t>
      </w:r>
      <w:proofErr w:type="spellEnd"/>
      <w:r>
        <w:rPr>
          <w:sz w:val="28"/>
          <w:szCs w:val="28"/>
          <w:lang w:bidi="ru-RU"/>
        </w:rPr>
        <w:t xml:space="preserve"> (+3,0%) по целевому  варианту в 2023 году. </w:t>
      </w:r>
    </w:p>
    <w:p w:rsidR="00851DE8" w:rsidRDefault="00851DE8" w:rsidP="00851DE8">
      <w:pPr>
        <w:pStyle w:val="22"/>
        <w:shd w:val="clear" w:color="auto" w:fill="auto"/>
        <w:spacing w:before="0" w:line="276" w:lineRule="auto"/>
        <w:ind w:firstLine="60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Основное влияние на оценку ситуации и прогноз </w:t>
      </w:r>
      <w:proofErr w:type="gramStart"/>
      <w:r>
        <w:rPr>
          <w:sz w:val="28"/>
          <w:szCs w:val="28"/>
          <w:lang w:bidi="ru-RU"/>
        </w:rPr>
        <w:t>на  среднесрочную</w:t>
      </w:r>
      <w:proofErr w:type="gramEnd"/>
      <w:r>
        <w:rPr>
          <w:sz w:val="28"/>
          <w:szCs w:val="28"/>
          <w:lang w:bidi="ru-RU"/>
        </w:rPr>
        <w:t xml:space="preserve"> и долгосрочную  перспективу в целом по городу, оказывают предприятия «Производства химических  веществ и химических продуктов», составляющие в среднем 78% от всего промышленного производства города.   При этом свыше 60% объема отрасли «химическое производство» принадлежит АО «Башкирская </w:t>
      </w:r>
      <w:r>
        <w:rPr>
          <w:sz w:val="28"/>
          <w:szCs w:val="28"/>
          <w:lang w:bidi="ru-RU"/>
        </w:rPr>
        <w:lastRenderedPageBreak/>
        <w:t xml:space="preserve">содовая компания», которой к 2023 году прогнозируется рост по производству продукции в натуральном выражении. </w:t>
      </w:r>
    </w:p>
    <w:p w:rsidR="00851DE8" w:rsidRDefault="00851DE8" w:rsidP="00851DE8">
      <w:pPr>
        <w:pStyle w:val="22"/>
        <w:shd w:val="clear" w:color="auto" w:fill="auto"/>
        <w:spacing w:before="0" w:line="276" w:lineRule="auto"/>
        <w:ind w:firstLine="60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Одним из крупных предприятий, чьи объемы производства и отгрузки с апреля по июнь 2020г. были снижены, в связи распространением </w:t>
      </w:r>
      <w:proofErr w:type="spellStart"/>
      <w:r>
        <w:rPr>
          <w:sz w:val="28"/>
          <w:szCs w:val="28"/>
          <w:lang w:bidi="ru-RU"/>
        </w:rPr>
        <w:t>коронавирусной</w:t>
      </w:r>
      <w:proofErr w:type="spellEnd"/>
      <w:r>
        <w:rPr>
          <w:sz w:val="28"/>
          <w:szCs w:val="28"/>
          <w:lang w:bidi="ru-RU"/>
        </w:rPr>
        <w:t xml:space="preserve"> инфекции, является ООО «Башкирская стекольная компания». Поскольку деятельность основных потребителей: мебельные фабрики, производство газовых плит было временно приостановлено, ожидаемый индекс физического объема в 2020 году составляет 83</w:t>
      </w:r>
      <w:proofErr w:type="gramStart"/>
      <w:r>
        <w:rPr>
          <w:sz w:val="28"/>
          <w:szCs w:val="28"/>
          <w:lang w:bidi="ru-RU"/>
        </w:rPr>
        <w:t>%  (</w:t>
      </w:r>
      <w:proofErr w:type="gramEnd"/>
      <w:r>
        <w:rPr>
          <w:sz w:val="28"/>
          <w:szCs w:val="28"/>
          <w:lang w:bidi="ru-RU"/>
        </w:rPr>
        <w:t xml:space="preserve">снижение чуть более 100,0 </w:t>
      </w:r>
      <w:proofErr w:type="spellStart"/>
      <w:r>
        <w:rPr>
          <w:sz w:val="28"/>
          <w:szCs w:val="28"/>
          <w:lang w:bidi="ru-RU"/>
        </w:rPr>
        <w:t>млн.рублей</w:t>
      </w:r>
      <w:proofErr w:type="spellEnd"/>
      <w:r>
        <w:rPr>
          <w:sz w:val="28"/>
          <w:szCs w:val="28"/>
          <w:lang w:bidi="ru-RU"/>
        </w:rPr>
        <w:t>)  по отношению к 2019 году.</w:t>
      </w:r>
    </w:p>
    <w:p w:rsidR="00851DE8" w:rsidRDefault="00851DE8" w:rsidP="00851D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По оценке 2020 года оборот розничной торговли ожидается на уровне 93% в сопоставимой оценке или 80,3 </w:t>
      </w:r>
      <w:proofErr w:type="spellStart"/>
      <w:r>
        <w:rPr>
          <w:bCs/>
          <w:spacing w:val="-6"/>
          <w:sz w:val="28"/>
          <w:szCs w:val="28"/>
        </w:rPr>
        <w:t>млрд.руб</w:t>
      </w:r>
      <w:proofErr w:type="spellEnd"/>
      <w:r>
        <w:rPr>
          <w:bCs/>
          <w:spacing w:val="-6"/>
          <w:sz w:val="28"/>
          <w:szCs w:val="28"/>
        </w:rPr>
        <w:t xml:space="preserve">. В прогнозном периоде динамика развития розничной торговли и потребительского спроса будет определяться сохранением денежных доходов населения (без значительного увеличения), умеренным потребительским кредитованием и развитой инфраструктурой потребительского рынка. </w:t>
      </w:r>
      <w:r>
        <w:rPr>
          <w:bCs/>
          <w:sz w:val="28"/>
          <w:szCs w:val="28"/>
        </w:rPr>
        <w:t xml:space="preserve">Согласно прогнозным расчетам в период 2021-2023 годов по базовому варианту темпы роста оборота розничной торговли ожидаются в границах 102,8%-104,2%, по целевому варианту – 102,9-104,3%. </w:t>
      </w:r>
      <w:r>
        <w:rPr>
          <w:sz w:val="28"/>
          <w:szCs w:val="28"/>
        </w:rPr>
        <w:t xml:space="preserve">В 2023 году по целевому варианту оборот розничной торговли оценивается более чем в 102,6 </w:t>
      </w:r>
      <w:proofErr w:type="spellStart"/>
      <w:r>
        <w:rPr>
          <w:sz w:val="28"/>
          <w:szCs w:val="28"/>
        </w:rPr>
        <w:t>млрд.руб</w:t>
      </w:r>
      <w:proofErr w:type="spellEnd"/>
      <w:r>
        <w:rPr>
          <w:sz w:val="28"/>
          <w:szCs w:val="28"/>
        </w:rPr>
        <w:t xml:space="preserve">. </w:t>
      </w:r>
    </w:p>
    <w:p w:rsidR="00851DE8" w:rsidRDefault="00851DE8" w:rsidP="00851DE8">
      <w:pPr>
        <w:tabs>
          <w:tab w:val="left" w:pos="993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</w:rPr>
        <w:t xml:space="preserve">бъем реализации платных услуг населению во всех каналах реализации в 2020 году оценивается в 22,8 млрд. рублей (в сопоставимой оценке – 100,3% к итогам 2019 года). Наибольший удельный вес в абсолютном выражении приходится на оказание коммунальных и жилищных услуг, бытовых услуг, услуг образования, транспорта и связи, здравоохранения.  </w:t>
      </w:r>
      <w:r>
        <w:rPr>
          <w:bCs/>
          <w:sz w:val="28"/>
          <w:szCs w:val="28"/>
        </w:rPr>
        <w:t xml:space="preserve">Согласно прогнозным расчетам в период 2021-2023 годов по базовому варианту темпы роста объема реализации платных услуг населению ожидаются в границах 100,3%-100,4%, по целевому варианту – 100,5%-100,6%. </w:t>
      </w:r>
    </w:p>
    <w:p w:rsidR="00851DE8" w:rsidRDefault="00851DE8" w:rsidP="00851D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2020 года инвестиции в основной капитал за счет всех источников финансирования (без субъектов малого </w:t>
      </w:r>
      <w:proofErr w:type="gramStart"/>
      <w:r>
        <w:rPr>
          <w:sz w:val="28"/>
          <w:szCs w:val="28"/>
        </w:rPr>
        <w:t>предпринимательства  и</w:t>
      </w:r>
      <w:proofErr w:type="gramEnd"/>
      <w:r>
        <w:rPr>
          <w:sz w:val="28"/>
          <w:szCs w:val="28"/>
        </w:rPr>
        <w:t xml:space="preserve"> объема инвестиций, не наблюдаемых прямыми статистическими методами) составят 8,2  млрд. рублей,  что  в сопоставимой оценке выше  уровня 2019 года на 30,9%, т.е. наблюдается положительная динамика развития инвестиций по сравнению с 2019 годом. </w:t>
      </w:r>
    </w:p>
    <w:p w:rsidR="00851DE8" w:rsidRDefault="00851DE8" w:rsidP="00851DE8">
      <w:pPr>
        <w:spacing w:line="276" w:lineRule="auto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Наибольший удельный вес в объеме инвестиций (82%) займут средства предприятий и организаций. </w:t>
      </w:r>
    </w:p>
    <w:p w:rsidR="00851DE8" w:rsidRDefault="00851DE8" w:rsidP="00851D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Увеличению инвестиций будет способствовать реализация инвестиционных проектов на крупных предприятиях города, в первую очередь на предприятиях химического производства, которые направлены на модернизацию и </w:t>
      </w:r>
      <w:proofErr w:type="spellStart"/>
      <w:r>
        <w:rPr>
          <w:sz w:val="28"/>
          <w:szCs w:val="28"/>
        </w:rPr>
        <w:t>техперевооружение</w:t>
      </w:r>
      <w:proofErr w:type="spellEnd"/>
      <w:r>
        <w:rPr>
          <w:sz w:val="28"/>
          <w:szCs w:val="28"/>
        </w:rPr>
        <w:t xml:space="preserve"> производства, улучшение качества продукции, расширение марочного состава продукции.</w:t>
      </w:r>
    </w:p>
    <w:p w:rsidR="00851DE8" w:rsidRDefault="00851DE8" w:rsidP="00851D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Средства производственного назначения  ожидается направить  на замену и модернизацию </w:t>
      </w:r>
      <w:proofErr w:type="spellStart"/>
      <w:r>
        <w:rPr>
          <w:sz w:val="28"/>
          <w:szCs w:val="28"/>
        </w:rPr>
        <w:t>коллоного</w:t>
      </w:r>
      <w:proofErr w:type="spellEnd"/>
      <w:r>
        <w:rPr>
          <w:sz w:val="28"/>
          <w:szCs w:val="28"/>
        </w:rPr>
        <w:t xml:space="preserve"> оборудования, завершение увеличения мощности отделения очищенного бикарбоната </w:t>
      </w:r>
      <w:proofErr w:type="spellStart"/>
      <w:r>
        <w:rPr>
          <w:sz w:val="28"/>
          <w:szCs w:val="28"/>
        </w:rPr>
        <w:t>натрария</w:t>
      </w:r>
      <w:proofErr w:type="spellEnd"/>
      <w:r>
        <w:rPr>
          <w:sz w:val="28"/>
          <w:szCs w:val="28"/>
        </w:rPr>
        <w:t xml:space="preserve"> до 200 </w:t>
      </w:r>
      <w:proofErr w:type="spellStart"/>
      <w:r>
        <w:rPr>
          <w:sz w:val="28"/>
          <w:szCs w:val="28"/>
        </w:rPr>
        <w:t>тыс.т</w:t>
      </w:r>
      <w:proofErr w:type="spellEnd"/>
      <w:r>
        <w:rPr>
          <w:sz w:val="28"/>
          <w:szCs w:val="28"/>
        </w:rPr>
        <w:t xml:space="preserve"> в год, развитие </w:t>
      </w:r>
      <w:proofErr w:type="spellStart"/>
      <w:r>
        <w:rPr>
          <w:sz w:val="28"/>
          <w:szCs w:val="28"/>
        </w:rPr>
        <w:t>рассолопромысла</w:t>
      </w:r>
      <w:proofErr w:type="spellEnd"/>
      <w:r>
        <w:rPr>
          <w:sz w:val="28"/>
          <w:szCs w:val="28"/>
        </w:rPr>
        <w:t xml:space="preserve">, мероприятия по газоочистке,  </w:t>
      </w:r>
      <w:proofErr w:type="spellStart"/>
      <w:r>
        <w:rPr>
          <w:sz w:val="28"/>
          <w:szCs w:val="28"/>
        </w:rPr>
        <w:t>техперевооружение</w:t>
      </w:r>
      <w:proofErr w:type="spellEnd"/>
      <w:r>
        <w:rPr>
          <w:sz w:val="28"/>
          <w:szCs w:val="28"/>
        </w:rPr>
        <w:t xml:space="preserve">  производства </w:t>
      </w:r>
      <w:proofErr w:type="spellStart"/>
      <w:r>
        <w:rPr>
          <w:sz w:val="28"/>
          <w:szCs w:val="28"/>
        </w:rPr>
        <w:t>абгазной</w:t>
      </w:r>
      <w:proofErr w:type="spellEnd"/>
      <w:r>
        <w:rPr>
          <w:sz w:val="28"/>
          <w:szCs w:val="28"/>
        </w:rPr>
        <w:t xml:space="preserve"> кислоты, фильтрация шлама </w:t>
      </w:r>
      <w:proofErr w:type="spellStart"/>
      <w:r>
        <w:rPr>
          <w:sz w:val="28"/>
          <w:szCs w:val="28"/>
        </w:rPr>
        <w:t>рассолоочистки</w:t>
      </w:r>
      <w:proofErr w:type="spellEnd"/>
      <w:r>
        <w:rPr>
          <w:sz w:val="28"/>
          <w:szCs w:val="28"/>
        </w:rPr>
        <w:t xml:space="preserve"> на АО «Башкирская содовая компания», на производство Агидола-3 (основание </w:t>
      </w:r>
      <w:proofErr w:type="spellStart"/>
      <w:r>
        <w:rPr>
          <w:sz w:val="28"/>
          <w:szCs w:val="28"/>
        </w:rPr>
        <w:t>Манниха</w:t>
      </w:r>
      <w:proofErr w:type="spellEnd"/>
      <w:r>
        <w:rPr>
          <w:sz w:val="28"/>
          <w:szCs w:val="28"/>
        </w:rPr>
        <w:t>) ОАО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нефтехимический завод»; создание современного производства кабинетных защит для станков с ЧПУ  и </w:t>
      </w:r>
      <w:proofErr w:type="spellStart"/>
      <w:r>
        <w:rPr>
          <w:sz w:val="28"/>
          <w:szCs w:val="28"/>
        </w:rPr>
        <w:t>техперевооружение</w:t>
      </w:r>
      <w:proofErr w:type="spellEnd"/>
      <w:r>
        <w:rPr>
          <w:sz w:val="28"/>
          <w:szCs w:val="28"/>
        </w:rPr>
        <w:t xml:space="preserve"> производства высокоточных 3,5-осевых станков с ЧПУ и обрабатывающих центров – ООО НПО «Станкостроение»;  реконструкция и </w:t>
      </w:r>
      <w:proofErr w:type="spellStart"/>
      <w:r>
        <w:rPr>
          <w:sz w:val="28"/>
          <w:szCs w:val="28"/>
        </w:rPr>
        <w:t>техперевооружение</w:t>
      </w:r>
      <w:proofErr w:type="spellEnd"/>
      <w:r>
        <w:rPr>
          <w:sz w:val="28"/>
          <w:szCs w:val="28"/>
        </w:rPr>
        <w:t xml:space="preserve"> производства   на ФКП «Авангард», создание участка нефтяных насосов на АО «Красный пролетарий»,  на модернизацию электрофильтра цеха «Клинкер-2» - ООО «</w:t>
      </w:r>
      <w:proofErr w:type="spellStart"/>
      <w:r>
        <w:rPr>
          <w:sz w:val="28"/>
          <w:szCs w:val="28"/>
        </w:rPr>
        <w:t>ХайдельбергЦементРус</w:t>
      </w:r>
      <w:proofErr w:type="spellEnd"/>
      <w:r>
        <w:rPr>
          <w:sz w:val="28"/>
          <w:szCs w:val="28"/>
        </w:rPr>
        <w:t>» и др. предприятиях города.</w:t>
      </w:r>
    </w:p>
    <w:p w:rsidR="00851DE8" w:rsidRDefault="00851DE8" w:rsidP="00851D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непроизводственной сферы будут направлены на объекты социальной, инженерной и дорожной инфраструктуры города:</w:t>
      </w:r>
      <w:r>
        <w:t xml:space="preserve"> </w:t>
      </w:r>
      <w:r>
        <w:rPr>
          <w:sz w:val="28"/>
          <w:szCs w:val="28"/>
        </w:rPr>
        <w:t xml:space="preserve">строительство 2-х детских </w:t>
      </w:r>
      <w:proofErr w:type="gramStart"/>
      <w:r>
        <w:rPr>
          <w:sz w:val="28"/>
          <w:szCs w:val="28"/>
        </w:rPr>
        <w:t>садов  на</w:t>
      </w:r>
      <w:proofErr w:type="gramEnd"/>
      <w:r>
        <w:rPr>
          <w:sz w:val="28"/>
          <w:szCs w:val="28"/>
        </w:rPr>
        <w:t xml:space="preserve"> 90 мест в мкр.7Б Западный,  детского сада на 260 мест в мкр.4А Западный, строительство водовода от </w:t>
      </w:r>
      <w:proofErr w:type="spellStart"/>
      <w:r>
        <w:rPr>
          <w:sz w:val="28"/>
          <w:szCs w:val="28"/>
        </w:rPr>
        <w:t>Ашкадарского</w:t>
      </w:r>
      <w:proofErr w:type="spellEnd"/>
      <w:r>
        <w:rPr>
          <w:sz w:val="28"/>
          <w:szCs w:val="28"/>
        </w:rPr>
        <w:t xml:space="preserve"> водозабора до насосной станции подкачки Юго-Западная, внедрение мембранного метода очистки воды от мутности, приобретение троллейбусов, строительство дороги по </w:t>
      </w:r>
      <w:proofErr w:type="spellStart"/>
      <w:r>
        <w:rPr>
          <w:sz w:val="28"/>
          <w:szCs w:val="28"/>
        </w:rPr>
        <w:t>ул.Ботаническая</w:t>
      </w:r>
      <w:proofErr w:type="spellEnd"/>
      <w:r>
        <w:rPr>
          <w:sz w:val="28"/>
          <w:szCs w:val="28"/>
        </w:rPr>
        <w:t>.</w:t>
      </w:r>
    </w:p>
    <w:p w:rsidR="00851DE8" w:rsidRDefault="00851DE8" w:rsidP="00851D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Инвестиционная активность с 2021 года, по мере создания комфортных условий для развития и притока в город инвестиций, по отношению к ожидаемому темповому уровню в 130,9% в 2019 году, в 2021 году по базовому варианту сложится в размере 100% и будет соответствовать уровню 2020 года, в 2022 году – 100,5%, в 2023 году – 101,5%. По целевому варианту объем инвестиций в сопоставимой оценке составит 107,0% (9,1 </w:t>
      </w:r>
      <w:proofErr w:type="spellStart"/>
      <w:r>
        <w:rPr>
          <w:sz w:val="28"/>
          <w:szCs w:val="28"/>
        </w:rPr>
        <w:t>млрд.руб</w:t>
      </w:r>
      <w:proofErr w:type="spellEnd"/>
      <w:r>
        <w:rPr>
          <w:sz w:val="28"/>
          <w:szCs w:val="28"/>
        </w:rPr>
        <w:t xml:space="preserve">.), в 2022 году – 177,0% (17,1 </w:t>
      </w:r>
      <w:proofErr w:type="spellStart"/>
      <w:r>
        <w:rPr>
          <w:sz w:val="28"/>
          <w:szCs w:val="28"/>
        </w:rPr>
        <w:t>млрд.руб</w:t>
      </w:r>
      <w:proofErr w:type="spellEnd"/>
      <w:r>
        <w:rPr>
          <w:sz w:val="28"/>
          <w:szCs w:val="28"/>
        </w:rPr>
        <w:t xml:space="preserve">.), 2023 году – 120,3% (21,6 </w:t>
      </w:r>
      <w:proofErr w:type="spellStart"/>
      <w:r>
        <w:rPr>
          <w:sz w:val="28"/>
          <w:szCs w:val="28"/>
        </w:rPr>
        <w:t>млрд.руб</w:t>
      </w:r>
      <w:proofErr w:type="spellEnd"/>
      <w:r>
        <w:rPr>
          <w:sz w:val="28"/>
          <w:szCs w:val="28"/>
        </w:rPr>
        <w:t xml:space="preserve">.). Основное увеличение в 2022 и 2023 годах объясняется наибольшим вложением средств АО «БСК» на организацию производства пигментного диоксида титана (в случае выполнения всех </w:t>
      </w:r>
      <w:proofErr w:type="spellStart"/>
      <w:r>
        <w:rPr>
          <w:sz w:val="28"/>
          <w:szCs w:val="28"/>
        </w:rPr>
        <w:t>предпроектных</w:t>
      </w:r>
      <w:proofErr w:type="spellEnd"/>
      <w:r>
        <w:rPr>
          <w:sz w:val="28"/>
          <w:szCs w:val="28"/>
        </w:rPr>
        <w:t xml:space="preserve"> и проектных решений по данному производству). </w:t>
      </w:r>
    </w:p>
    <w:p w:rsidR="00851DE8" w:rsidRDefault="00851DE8" w:rsidP="00851D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будут направлены на продолжение замены и модернизацию колонного оборудования, развитию </w:t>
      </w:r>
      <w:proofErr w:type="spellStart"/>
      <w:proofErr w:type="gramStart"/>
      <w:r>
        <w:rPr>
          <w:sz w:val="28"/>
          <w:szCs w:val="28"/>
        </w:rPr>
        <w:t>рассолопромысла</w:t>
      </w:r>
      <w:proofErr w:type="spellEnd"/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АО «Башкирская содовая компания»; организацию производства Агидола-168 мощностью выпуска 3000 тонн в год; завершение </w:t>
      </w:r>
      <w:proofErr w:type="spellStart"/>
      <w:r>
        <w:rPr>
          <w:sz w:val="28"/>
          <w:szCs w:val="28"/>
        </w:rPr>
        <w:t>техперевооружения</w:t>
      </w:r>
      <w:proofErr w:type="spellEnd"/>
      <w:r>
        <w:rPr>
          <w:sz w:val="28"/>
          <w:szCs w:val="28"/>
        </w:rPr>
        <w:t xml:space="preserve"> производства высокоточных 3,5-осевых станков с ЧПУ и обрабатывающих центров – ООО НПО «Станкостроение»; на продолжение реализации проекта по реконструкции  и </w:t>
      </w:r>
      <w:proofErr w:type="spellStart"/>
      <w:r>
        <w:rPr>
          <w:sz w:val="28"/>
          <w:szCs w:val="28"/>
        </w:rPr>
        <w:t>техперевооружению</w:t>
      </w:r>
      <w:proofErr w:type="spellEnd"/>
      <w:r>
        <w:rPr>
          <w:sz w:val="28"/>
          <w:szCs w:val="28"/>
        </w:rPr>
        <w:t xml:space="preserve"> производства на ФКП «Авангард».</w:t>
      </w:r>
    </w:p>
    <w:p w:rsidR="00851DE8" w:rsidRDefault="00851DE8" w:rsidP="00851D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планируется, построить и ввести в эксплуатацию 123,025 тыс. кв. м. жилья, что выше уровня 2019 года на 29,3%. В связи с простоем </w:t>
      </w:r>
      <w:r>
        <w:rPr>
          <w:sz w:val="28"/>
          <w:szCs w:val="28"/>
        </w:rPr>
        <w:lastRenderedPageBreak/>
        <w:t xml:space="preserve">строительных организаций в период пандемии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ввод жилья планируется ближе к 95,0 тыс. кв. м.</w:t>
      </w:r>
    </w:p>
    <w:p w:rsidR="00851DE8" w:rsidRDefault="00851DE8" w:rsidP="00851D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на территории города строится 18 многоквартирных домов со сроками ввода в эксплуатацию в 2020-2022г.г. Продолжается строительство жилых домов жилого района «Прибрежный-1»,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№2,5 Западного жилого района города, в квартале жилой застройки в границах улиц </w:t>
      </w:r>
      <w:proofErr w:type="spellStart"/>
      <w:r>
        <w:rPr>
          <w:sz w:val="28"/>
          <w:szCs w:val="28"/>
        </w:rPr>
        <w:t>Волочаевская</w:t>
      </w:r>
      <w:proofErr w:type="spellEnd"/>
      <w:r>
        <w:rPr>
          <w:sz w:val="28"/>
          <w:szCs w:val="28"/>
        </w:rPr>
        <w:t xml:space="preserve">, Добролюбова, Николаева, на территории бывшей воинской части. </w:t>
      </w:r>
    </w:p>
    <w:p w:rsidR="00851DE8" w:rsidRDefault="00851DE8" w:rsidP="00851D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Генерального плана городского округа город Стерлитамак для обеспечения жилищного строительства разработана документация по планировке территории:- жилого района «Прибрежный-2» (планируется разместить 30 жилых дома);- жилого района </w:t>
      </w:r>
      <w:proofErr w:type="spellStart"/>
      <w:r>
        <w:rPr>
          <w:sz w:val="28"/>
          <w:szCs w:val="28"/>
        </w:rPr>
        <w:t>Шахтау</w:t>
      </w:r>
      <w:proofErr w:type="spellEnd"/>
      <w:r>
        <w:rPr>
          <w:sz w:val="28"/>
          <w:szCs w:val="28"/>
        </w:rPr>
        <w:t xml:space="preserve">, по ул. Карла Либкнехта (планируется разместить семь 5-этажных жилых домов, отведена территория для индивидуального жилищного строительства);- жилого района «Радужный»,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очередь (планируется разместить 42 жилых дома);- жилого района «Радужный»,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очередь (планируется разместить 30 жилых домов).</w:t>
      </w:r>
    </w:p>
    <w:p w:rsidR="00851DE8" w:rsidRDefault="00851DE8" w:rsidP="00851D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Застройка новых микрорайонов запланирована с учетом требований, предъявляемым к комфортному проживанию граждан. Предусмотрено достаточное кол-во парковочных мест как в наземных гостевых и временных парковках, так и мест для хранения автомобилей в многоуровневых паркингах.</w:t>
      </w:r>
    </w:p>
    <w:p w:rsidR="00851DE8" w:rsidRDefault="00851DE8" w:rsidP="00851D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среднесрочном периоде наблюдается тенденция роста вводимого жилья. В 2021 году по 3 целевому варианту планируется – 126,5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 xml:space="preserve">., 2 базовый вариант – будет соответствовать уровню 2020 года, 1 консервативный вариант - уровню 2019 года, как последствие пандемии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. В 2022 году соответственно 140,1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 xml:space="preserve">., 138,3 и 97,8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 xml:space="preserve">., в 2023 году – 150,9 </w:t>
      </w:r>
      <w:proofErr w:type="spellStart"/>
      <w:r>
        <w:rPr>
          <w:sz w:val="28"/>
          <w:szCs w:val="28"/>
        </w:rPr>
        <w:t>тыс.кв.м..ю</w:t>
      </w:r>
      <w:proofErr w:type="spellEnd"/>
      <w:r>
        <w:rPr>
          <w:sz w:val="28"/>
          <w:szCs w:val="28"/>
        </w:rPr>
        <w:t xml:space="preserve"> 149,5 и 98,6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 xml:space="preserve">.. </w:t>
      </w:r>
    </w:p>
    <w:p w:rsidR="00851DE8" w:rsidRDefault="00851DE8" w:rsidP="00851DE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Валовая  продукция</w:t>
      </w:r>
      <w:proofErr w:type="gramEnd"/>
      <w:r>
        <w:rPr>
          <w:sz w:val="28"/>
          <w:szCs w:val="28"/>
        </w:rPr>
        <w:t xml:space="preserve"> сельского хозяйства во всех категориях по оценке 2020 года в ценах соответствующих лет составит более 490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., что составит 101,0 % в сопоставимой оценке. </w:t>
      </w:r>
    </w:p>
    <w:p w:rsidR="00851DE8" w:rsidRDefault="00851DE8" w:rsidP="00851D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варианту 2021 года валовая продукция в сопоставимой оценке составит 100,28%. Прогноз по второму и третьему вариантам до 2024 года рассчитан с учетом тенденции развития подсобных хозяйств колонии и личных подсобных хозяйств.</w:t>
      </w:r>
    </w:p>
    <w:p w:rsidR="00851DE8" w:rsidRDefault="00851DE8" w:rsidP="00851D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прогноза учитывались подсобные хозяйства двух колонии, 1 крестьянско-фермерского хозяйства и личные подсобные хозяйства. Удельный вес </w:t>
      </w:r>
      <w:proofErr w:type="gramStart"/>
      <w:r>
        <w:rPr>
          <w:sz w:val="28"/>
          <w:szCs w:val="28"/>
        </w:rPr>
        <w:t>отрасли  в</w:t>
      </w:r>
      <w:proofErr w:type="gramEnd"/>
      <w:r>
        <w:rPr>
          <w:sz w:val="28"/>
          <w:szCs w:val="28"/>
        </w:rPr>
        <w:t xml:space="preserve"> общем объеме производства и отгрузки товаров и услуг за 2019 год составляет 0,02%, это незначительная доля на фоне промышленного производства. </w:t>
      </w:r>
    </w:p>
    <w:p w:rsidR="00851DE8" w:rsidRDefault="00851DE8" w:rsidP="00851D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Прибыль прибыльных организаций за 2019 год составила 20,8 </w:t>
      </w:r>
      <w:proofErr w:type="spellStart"/>
      <w:r>
        <w:rPr>
          <w:rFonts w:eastAsia="Calibri"/>
          <w:sz w:val="28"/>
          <w:szCs w:val="28"/>
        </w:rPr>
        <w:t>млрд.рублей</w:t>
      </w:r>
      <w:proofErr w:type="spellEnd"/>
      <w:r>
        <w:rPr>
          <w:rFonts w:eastAsia="Calibri"/>
          <w:sz w:val="28"/>
          <w:szCs w:val="28"/>
        </w:rPr>
        <w:t xml:space="preserve">, сальдированный финансовый результат по всем видам деятельности за 2019 год -  20,2 </w:t>
      </w:r>
      <w:proofErr w:type="spellStart"/>
      <w:r>
        <w:rPr>
          <w:rFonts w:eastAsia="Calibri"/>
          <w:sz w:val="28"/>
          <w:szCs w:val="28"/>
        </w:rPr>
        <w:t>млрд.рублей</w:t>
      </w:r>
      <w:proofErr w:type="spellEnd"/>
      <w:r>
        <w:rPr>
          <w:rFonts w:eastAsia="Calibri"/>
          <w:sz w:val="28"/>
          <w:szCs w:val="28"/>
        </w:rPr>
        <w:t xml:space="preserve">, с ростом к 2018 году на 13,1%. </w:t>
      </w:r>
    </w:p>
    <w:p w:rsidR="00851DE8" w:rsidRDefault="00851DE8" w:rsidP="00851DE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lastRenderedPageBreak/>
        <w:t xml:space="preserve"> На долю предприятий обрабатывающих производств (это основной вид деятельности экономики города), приходится 90% от общегородского сальдо прибылей и убытков-18,3 </w:t>
      </w:r>
      <w:proofErr w:type="spellStart"/>
      <w:r>
        <w:rPr>
          <w:rFonts w:eastAsia="Calibri"/>
          <w:sz w:val="28"/>
          <w:szCs w:val="28"/>
        </w:rPr>
        <w:t>млрд.руб</w:t>
      </w:r>
      <w:proofErr w:type="spellEnd"/>
      <w:r>
        <w:rPr>
          <w:rFonts w:eastAsia="Calibri"/>
          <w:sz w:val="28"/>
          <w:szCs w:val="28"/>
        </w:rPr>
        <w:t xml:space="preserve">). Наибольшую долю в общую прибыль внесли предприятия химического производства, их доля в общем объеме сальдо прибылей и убытков по городу составила 85,5%. По оценке, сформированной на основании прогнозных данных предприятий, </w:t>
      </w:r>
      <w:proofErr w:type="gramStart"/>
      <w:r>
        <w:rPr>
          <w:rFonts w:eastAsia="Calibri"/>
          <w:sz w:val="28"/>
          <w:szCs w:val="28"/>
        </w:rPr>
        <w:t>в  2020</w:t>
      </w:r>
      <w:proofErr w:type="gramEnd"/>
      <w:r>
        <w:rPr>
          <w:rFonts w:eastAsia="Calibri"/>
          <w:sz w:val="28"/>
          <w:szCs w:val="28"/>
        </w:rPr>
        <w:t xml:space="preserve"> году ожидается увеличение суммы прибыли за счет снижения себестоимости отдельных видов продукции и курсовой разницы валюты. При прогнозировании прибыли на перспективу учитывалась их динамика в предыдущие годы, тенденции развития видов экономической деятельности, уровень инвестиционной активности. Прогноз на 2021 год и среднесрочную </w:t>
      </w:r>
      <w:proofErr w:type="gramStart"/>
      <w:r>
        <w:rPr>
          <w:rFonts w:eastAsia="Calibri"/>
          <w:sz w:val="28"/>
          <w:szCs w:val="28"/>
        </w:rPr>
        <w:t>перспективу  до</w:t>
      </w:r>
      <w:proofErr w:type="gramEnd"/>
      <w:r>
        <w:rPr>
          <w:rFonts w:eastAsia="Calibri"/>
          <w:sz w:val="28"/>
          <w:szCs w:val="28"/>
        </w:rPr>
        <w:t xml:space="preserve"> 2023 года по объему прибыли составлен на основе данных предприятий и организаций города с учетом сценарных условий по вариантности, на уровне не ниже прогнозируемой оценки 2020 года. Структура сальдированного финансового результата в основе сохранится на уровне 2019 года, основную прибыль будут формировать предприятия химического производства.</w:t>
      </w:r>
    </w:p>
    <w:p w:rsidR="00851DE8" w:rsidRDefault="00851DE8" w:rsidP="00851DE8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Среднегодовая численность населения по городскому округу город Стерлитамак по оценке 2020 года ожидается на уровне 275,5 тыс. </w:t>
      </w:r>
      <w:proofErr w:type="gramStart"/>
      <w:r>
        <w:rPr>
          <w:sz w:val="28"/>
        </w:rPr>
        <w:t>человек  со</w:t>
      </w:r>
      <w:proofErr w:type="gramEnd"/>
      <w:r>
        <w:rPr>
          <w:sz w:val="28"/>
        </w:rPr>
        <w:t xml:space="preserve"> снижением к факту 2019 года на 0,6%, что непосредственно связано с отрицательной миграцией населения, которая наблюдается в Стерлитамаке с 2015 года. </w:t>
      </w:r>
    </w:p>
    <w:p w:rsidR="00851DE8" w:rsidRDefault="00851DE8" w:rsidP="00851DE8">
      <w:pPr>
        <w:pStyle w:val="2"/>
        <w:spacing w:line="276" w:lineRule="auto"/>
        <w:ind w:firstLine="708"/>
        <w:jc w:val="both"/>
        <w:rPr>
          <w:b w:val="0"/>
        </w:rPr>
      </w:pPr>
      <w:r>
        <w:rPr>
          <w:b w:val="0"/>
          <w:szCs w:val="28"/>
        </w:rPr>
        <w:t xml:space="preserve">Сложившаяся отрицательная тенденция продолжается и в текущем году. Каковы маршруты убывшего населения? По итогам 2019 года </w:t>
      </w:r>
      <w:proofErr w:type="spellStart"/>
      <w:r>
        <w:rPr>
          <w:b w:val="0"/>
          <w:szCs w:val="28"/>
        </w:rPr>
        <w:t>внутрирегиональная</w:t>
      </w:r>
      <w:proofErr w:type="spellEnd"/>
      <w:r>
        <w:rPr>
          <w:b w:val="0"/>
          <w:szCs w:val="28"/>
        </w:rPr>
        <w:t xml:space="preserve"> миграция жителей Стерлитамака (т.е. в пределах Республики Башкортостан) составила только 17% от общей миграционной убыли населения. При этом внешняя миграция </w:t>
      </w:r>
      <w:proofErr w:type="spellStart"/>
      <w:r>
        <w:rPr>
          <w:b w:val="0"/>
          <w:szCs w:val="28"/>
        </w:rPr>
        <w:t>стерлитамаковцев</w:t>
      </w:r>
      <w:proofErr w:type="spellEnd"/>
      <w:r>
        <w:rPr>
          <w:b w:val="0"/>
          <w:szCs w:val="28"/>
        </w:rPr>
        <w:t xml:space="preserve"> для Республики Башкортостан составляет 83% от общей миграционной убыли населения города. Отток населения, главным образом, объясняется поиском лучших и комфортных условий проживания в других регионах и странах (высокая оплата труда, наличие свободных рабочих мест, развитая инфраструктура). Кроме того, о</w:t>
      </w:r>
      <w:r>
        <w:rPr>
          <w:b w:val="0"/>
        </w:rPr>
        <w:t xml:space="preserve">трицательная миграция в городе усугубляется приобретением жителями города жилья в новостройках микрорайона «Лазурный» и строительством индивидуальных жилых домов в поселках Загородный и </w:t>
      </w:r>
      <w:proofErr w:type="spellStart"/>
      <w:r>
        <w:rPr>
          <w:b w:val="0"/>
        </w:rPr>
        <w:t>Отрадовка</w:t>
      </w:r>
      <w:proofErr w:type="spellEnd"/>
      <w:r>
        <w:rPr>
          <w:b w:val="0"/>
        </w:rPr>
        <w:t xml:space="preserve">, которые относятся к </w:t>
      </w:r>
      <w:proofErr w:type="spellStart"/>
      <w:r>
        <w:rPr>
          <w:b w:val="0"/>
        </w:rPr>
        <w:t>Стерлитамакскому</w:t>
      </w:r>
      <w:proofErr w:type="spellEnd"/>
      <w:r>
        <w:rPr>
          <w:b w:val="0"/>
        </w:rPr>
        <w:t xml:space="preserve"> району. </w:t>
      </w:r>
    </w:p>
    <w:p w:rsidR="00851DE8" w:rsidRDefault="00851DE8" w:rsidP="00851DE8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Среднегодовая численность населения планируется со </w:t>
      </w:r>
      <w:proofErr w:type="gramStart"/>
      <w:r>
        <w:rPr>
          <w:sz w:val="28"/>
        </w:rPr>
        <w:t>снижением  в</w:t>
      </w:r>
      <w:proofErr w:type="gramEnd"/>
      <w:r>
        <w:rPr>
          <w:sz w:val="28"/>
        </w:rPr>
        <w:t xml:space="preserve"> прогнозной перспективе по всем вариантам развития до 2023 года. О чем свидетельствует коэффициент миграционного прироста, имеющий отрицательное значение. По оценке 2020 года коэффициент миграционного убыли ожидается на уровне -60,1 человека на 10 тыс. населения. В прогнозной перспективе по </w:t>
      </w:r>
      <w:r>
        <w:rPr>
          <w:sz w:val="28"/>
        </w:rPr>
        <w:lastRenderedPageBreak/>
        <w:t xml:space="preserve">целевому варианту 2023 года планируется устойчивая тенденция снижения миграционной убыли населения до -20,1 человек на 10 </w:t>
      </w:r>
      <w:proofErr w:type="spellStart"/>
      <w:r>
        <w:rPr>
          <w:sz w:val="28"/>
        </w:rPr>
        <w:t>тыс.населения</w:t>
      </w:r>
      <w:proofErr w:type="spellEnd"/>
      <w:r>
        <w:rPr>
          <w:sz w:val="28"/>
        </w:rPr>
        <w:t xml:space="preserve">. </w:t>
      </w:r>
    </w:p>
    <w:p w:rsidR="00851DE8" w:rsidRDefault="00851DE8" w:rsidP="00851DE8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Выравниванию демографической ситуации будут способствовать мероприятия республиканского уровня в данной сфере, а </w:t>
      </w:r>
      <w:proofErr w:type="gramStart"/>
      <w:r>
        <w:rPr>
          <w:sz w:val="28"/>
        </w:rPr>
        <w:t>также  реализация</w:t>
      </w:r>
      <w:proofErr w:type="gramEnd"/>
      <w:r>
        <w:rPr>
          <w:sz w:val="28"/>
        </w:rPr>
        <w:t xml:space="preserve"> мероприятий Стратегии развития городского округа город Стерлитамак до 2030 года. В результате реализации Стратегии-2030 отрицательная миграция населения перерастет в положительную за счет создания новых рабочих мест, развития дополнительной социальной инфраструктуры, и появится заинтересованность в проживании в Стерлитамаке. </w:t>
      </w:r>
    </w:p>
    <w:p w:rsidR="00851DE8" w:rsidRDefault="00851DE8" w:rsidP="00851DE8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Численность занятых в экономике города по оценке текущего года ожидается с небольшим увеличением к 2019 году – 100,3 </w:t>
      </w:r>
      <w:proofErr w:type="spellStart"/>
      <w:r>
        <w:rPr>
          <w:sz w:val="28"/>
        </w:rPr>
        <w:t>тыс.человек</w:t>
      </w:r>
      <w:proofErr w:type="spellEnd"/>
      <w:r>
        <w:rPr>
          <w:sz w:val="28"/>
        </w:rPr>
        <w:t>. В прогнозной перспективе по базовому и целевому вариантам развития численность занятых в экономике города планируется с увеличением, главным образом, на предприятиях малого бизнеса (в рамках целевых ориентиров по нацпроекту) за счет создания новых рабочих мест в реальном секторе экономики и социальной сфере, а также за счет сокращения числа лиц, занятых в домашнем хозяйстве, и снижения неформальной занятости. Этому будет способствовать деятельность органов власти различного уровня в части легализации трудовых ресурсов. Статьи «Занятые в домашнем хозяйстве…» и «Лица в трудоспособном возрасте, не занятые трудовой деятельностью и учебой» являются балансовыми и включают кроме лиц, действительно занятых домашним хозяйством, население, официально не оформившее трудовые отношения (к примеру, на отдельных предприятиях малого бизнеса), и маятниковую миграцию (вахтовый метод работы).</w:t>
      </w:r>
    </w:p>
    <w:p w:rsidR="00851DE8" w:rsidRDefault="00851DE8" w:rsidP="00851DE8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По экспертной оценке 2020 года фонд заработной платы по полному кругу предприятий и организаций оценивается в 25,0 </w:t>
      </w:r>
      <w:proofErr w:type="spellStart"/>
      <w:r>
        <w:rPr>
          <w:sz w:val="28"/>
        </w:rPr>
        <w:t>млрд.руб</w:t>
      </w:r>
      <w:proofErr w:type="spellEnd"/>
      <w:r>
        <w:rPr>
          <w:sz w:val="28"/>
        </w:rPr>
        <w:t xml:space="preserve">. с уменьшением к итогам предыдущего года на 8% в связи с экономической ситуацией, сложившейся в период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инфекции. </w:t>
      </w:r>
    </w:p>
    <w:p w:rsidR="00851DE8" w:rsidRDefault="00851DE8" w:rsidP="00851DE8">
      <w:pPr>
        <w:spacing w:line="276" w:lineRule="auto"/>
        <w:jc w:val="both"/>
        <w:rPr>
          <w:sz w:val="28"/>
          <w:highlight w:val="yellow"/>
        </w:rPr>
      </w:pPr>
      <w:r>
        <w:rPr>
          <w:sz w:val="28"/>
        </w:rPr>
        <w:t xml:space="preserve">             По итогам 2019 года размер среднемесячной заработной платы по крупным и средним предприятиям</w:t>
      </w:r>
      <w:r>
        <w:rPr>
          <w:b/>
          <w:sz w:val="28"/>
        </w:rPr>
        <w:t xml:space="preserve"> </w:t>
      </w:r>
      <w:r>
        <w:rPr>
          <w:sz w:val="28"/>
        </w:rPr>
        <w:t xml:space="preserve">городского округа (по данным статистики) составил 36,9 тысяч </w:t>
      </w:r>
      <w:proofErr w:type="gramStart"/>
      <w:r>
        <w:rPr>
          <w:sz w:val="28"/>
        </w:rPr>
        <w:t>рублей,  прогнозируемое</w:t>
      </w:r>
      <w:proofErr w:type="gramEnd"/>
      <w:r>
        <w:rPr>
          <w:sz w:val="28"/>
        </w:rPr>
        <w:t xml:space="preserve"> снижение на 2020 год – 3% в номинальном исчислении и уровень среднемесячной заработной платы ожидается в размере 35,8 тысяч рублей. Прогнозируемое снижение размера среднемесячной заработной платы на 2020 год обусловлено экономической ситуацией, сложившейся в период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инфекции. На последующие годы прогнозируется постепенное </w:t>
      </w:r>
      <w:proofErr w:type="gramStart"/>
      <w:r>
        <w:rPr>
          <w:sz w:val="28"/>
        </w:rPr>
        <w:t>увеличение  размера</w:t>
      </w:r>
      <w:proofErr w:type="gramEnd"/>
      <w:r>
        <w:rPr>
          <w:sz w:val="28"/>
        </w:rPr>
        <w:t xml:space="preserve">  среднемесячной заработной платы в связи с ежегодной индексацией заработной платы на предприятиях города 5%-7% и в бюджетной сфере порядка 4%-5%. На 2021-2023 годы по базовому варианту развития экономики номинальное </w:t>
      </w:r>
      <w:r>
        <w:rPr>
          <w:sz w:val="28"/>
        </w:rPr>
        <w:lastRenderedPageBreak/>
        <w:t xml:space="preserve">увеличение среднемесячной заработной платы прогнозируется 3%-5,6% ежегодно, по целевому варианту – порядка 5,6%-5,8%. </w:t>
      </w:r>
    </w:p>
    <w:p w:rsidR="00851DE8" w:rsidRDefault="00851DE8" w:rsidP="00851DE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2020 года уровень зарегистрированной безработицы ожидается на уровне 3,33% от числа экономически активного населения. Оценка текущего года значительно превышает факт 2019 года (0,72%), т.к. Правительством Российской Федерации принято постановление о расширении мер поддержки безработных за май-июль 2020 года. Документ направлен на поддержку населения в условиях ограничений, связанных с пандемией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. Одна из мер - повышение минимального пособия по безработице за май-июль, что </w:t>
      </w:r>
      <w:r>
        <w:rPr>
          <w:color w:val="000000"/>
          <w:sz w:val="28"/>
        </w:rPr>
        <w:t xml:space="preserve">повлекло за собой увеличение официально зарегистрированной безработицы. При этом реальная ситуация на рынке труда остается достаточно стабильной, что позволяет прогнозировать уровень безработицы в рамках значений, предусмотренных аналогичным целевым индикатором </w:t>
      </w:r>
      <w:r>
        <w:rPr>
          <w:sz w:val="28"/>
          <w:szCs w:val="28"/>
        </w:rPr>
        <w:t>Стратегии-2030 ГО г. Стерлитамак.</w:t>
      </w:r>
    </w:p>
    <w:p w:rsidR="00851DE8" w:rsidRDefault="00851DE8" w:rsidP="00851DE8">
      <w:pPr>
        <w:pStyle w:val="2"/>
        <w:spacing w:line="276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конце 2018 года утверждена Стратегия социально-экономического развития Стерлитамака до 2030 года. Реализация предусмотренного плана мероприятий Стратегии-2030 должна способствовать реализации новых инвестиционных проектов с созданием дополнительных рабочих, что повлечет увеличение доходов горожан и развитие инфраструктуры города.</w:t>
      </w:r>
    </w:p>
    <w:p w:rsidR="00851DE8" w:rsidRDefault="00851DE8" w:rsidP="00851D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Малое и среднее предпринимательство является неотъемлемым элементом современной рыночной экономики. Этот сектор экономики создает необходимую атмосферу конкуренции, быстро реагирует на любые изменения рыночной конъюнктуры, заполняет образующиеся ниши в потребительской сфере, создает дополнительные рабочие места. </w:t>
      </w:r>
    </w:p>
    <w:p w:rsidR="00851DE8" w:rsidRDefault="00851DE8" w:rsidP="00851D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2019 года в городском округе зарегистрировано 7301 субъектов малого и среднего предпринимательства, в том числе: 244 малых предприятий (без учета микро предприятий), 2 342 микро предприятий, 13 средних предприятий. Индивидуальные предприниматели составляют 64,4% или 4 702 ед. от общего числа субъектов малого и среднего предпринимательства. Отраслевая структура субъектов малого и среднего предпринимательства складывается следующим образом: в торговле занято 40,4% от общего числа субъектов малого и среднего бизнеса, в обрабатывающей промышленности – 8,7%, в строительстве – 10,0%, в сфере транспортировки и хранения – 7,2%, прочих видах экономической деятельности – 25,5%.</w:t>
      </w:r>
    </w:p>
    <w:p w:rsidR="00851DE8" w:rsidRDefault="00851DE8" w:rsidP="00851DE8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Ситуация связанная с распространением новой </w:t>
      </w:r>
      <w:proofErr w:type="spellStart"/>
      <w:proofErr w:type="gramStart"/>
      <w:r>
        <w:rPr>
          <w:sz w:val="27"/>
          <w:szCs w:val="27"/>
        </w:rPr>
        <w:t>коронавирусной</w:t>
      </w:r>
      <w:proofErr w:type="spellEnd"/>
      <w:r>
        <w:rPr>
          <w:sz w:val="27"/>
          <w:szCs w:val="27"/>
        </w:rPr>
        <w:t xml:space="preserve">  инфекции</w:t>
      </w:r>
      <w:proofErr w:type="gramEnd"/>
      <w:r>
        <w:rPr>
          <w:sz w:val="27"/>
          <w:szCs w:val="27"/>
        </w:rPr>
        <w:t xml:space="preserve"> внесла свои коррективы в развитие бизнеса в стране. Для поддержки субъектов малого и среднего предпринимательства на территории городского округа город Стерлитамак Республики Башкортостан приняты решения Совета муниципального образования  о снижении корректирующего коэффициента К2, применяемого для исчисления налога на вмененный доход, освобождение от уплаты авансовых </w:t>
      </w:r>
      <w:r>
        <w:rPr>
          <w:sz w:val="27"/>
          <w:szCs w:val="27"/>
        </w:rPr>
        <w:lastRenderedPageBreak/>
        <w:t xml:space="preserve">платежей по земельному налогу и освобождение от уплаты арендных платежей во 2,3 квартале 2020 года, отсрочка уплаты платежей по договорам купли-продажи муниципального имущества во 2,3 квартале 2020 года и на 2021 год,  введение моратория на проведение в 2020 году контрольно-надзорных мероприятий и наложение штрафов в отношении юридических лиц и индивидуальных предпринимателей, отнесенных в соответствии со  статьей 4 Федерального закона от 24.07.2007г. №209-ФЗ «О развитии малого и среднего предпринимательства в РФ» к субъектам малого и среднего предпринимательства, за исключением случаев, связанных с обеспечением безопасности жизнедеятельности граждан, предупреждения чрезвычайных ситуаций, </w:t>
      </w:r>
      <w:r>
        <w:rPr>
          <w:sz w:val="28"/>
          <w:szCs w:val="28"/>
        </w:rPr>
        <w:t>принято решение Совета «О предоставлении отсрочки по внесению платы по договорам на установку и эксплуатацию рекламных конструкций на территории городского округа город Стерлитамак Республики Башкортостан».</w:t>
      </w:r>
    </w:p>
    <w:p w:rsidR="00851DE8" w:rsidRDefault="00851DE8" w:rsidP="00851DE8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учетом принятых мер спрогнозирован рост количества субъектов малого и среднего предпринимательства на 2020 год - 7979 единиц (с ростом к 2023 году на 1586 единиц - целевой вариант). </w:t>
      </w:r>
    </w:p>
    <w:p w:rsidR="00851DE8" w:rsidRDefault="00851DE8" w:rsidP="00851D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2020 года индекс потребительских цен (среднегодовой) по Республике Башкортостан составит 104,2%. Темпы роста потребительских цен до 2023 года по второму базовому варианту прогнозируется в следующих размерах: 2021 год к 2020 году – 3,9%, 2022 год к 2021 году – 3,9%, 2023 год к 2022 году – 3,9%. </w:t>
      </w:r>
    </w:p>
    <w:p w:rsidR="00851DE8" w:rsidRDefault="00851DE8" w:rsidP="00D520B6">
      <w:pPr>
        <w:ind w:left="-709"/>
        <w:rPr>
          <w:sz w:val="28"/>
          <w:szCs w:val="28"/>
        </w:rPr>
      </w:pPr>
    </w:p>
    <w:p w:rsidR="00851DE8" w:rsidRDefault="00D520B6" w:rsidP="00D520B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6D9">
        <w:rPr>
          <w:sz w:val="28"/>
          <w:szCs w:val="28"/>
        </w:rPr>
        <w:t xml:space="preserve"> </w:t>
      </w:r>
    </w:p>
    <w:p w:rsidR="00851DE8" w:rsidRDefault="00851DE8" w:rsidP="00D520B6">
      <w:pPr>
        <w:ind w:left="-709"/>
        <w:rPr>
          <w:sz w:val="28"/>
          <w:szCs w:val="28"/>
        </w:rPr>
      </w:pPr>
    </w:p>
    <w:p w:rsidR="00851DE8" w:rsidRDefault="00851DE8" w:rsidP="00D520B6">
      <w:pPr>
        <w:ind w:left="-709"/>
        <w:rPr>
          <w:sz w:val="28"/>
          <w:szCs w:val="28"/>
        </w:rPr>
      </w:pPr>
    </w:p>
    <w:p w:rsidR="00A97839" w:rsidRPr="00C70CE5" w:rsidRDefault="00851DE8" w:rsidP="00D520B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A97839" w:rsidRPr="00C70CE5">
        <w:rPr>
          <w:sz w:val="28"/>
          <w:szCs w:val="28"/>
        </w:rPr>
        <w:t>Управляющий</w:t>
      </w:r>
      <w:r w:rsidR="00D520B6">
        <w:rPr>
          <w:sz w:val="28"/>
          <w:szCs w:val="28"/>
        </w:rPr>
        <w:t xml:space="preserve"> </w:t>
      </w:r>
      <w:r w:rsidR="00A97839" w:rsidRPr="00C70CE5">
        <w:rPr>
          <w:sz w:val="28"/>
          <w:szCs w:val="28"/>
        </w:rPr>
        <w:t xml:space="preserve">делами                                     </w:t>
      </w:r>
      <w:r w:rsidR="00D520B6">
        <w:rPr>
          <w:sz w:val="28"/>
          <w:szCs w:val="28"/>
        </w:rPr>
        <w:t xml:space="preserve">           </w:t>
      </w:r>
      <w:r w:rsidR="00A97839">
        <w:rPr>
          <w:sz w:val="28"/>
          <w:szCs w:val="28"/>
        </w:rPr>
        <w:t xml:space="preserve">         </w:t>
      </w:r>
      <w:r w:rsidR="00A97839" w:rsidRPr="00C70CE5">
        <w:rPr>
          <w:sz w:val="28"/>
          <w:szCs w:val="28"/>
        </w:rPr>
        <w:t xml:space="preserve">   </w:t>
      </w:r>
      <w:r w:rsidR="00A97839">
        <w:rPr>
          <w:sz w:val="28"/>
          <w:szCs w:val="28"/>
        </w:rPr>
        <w:t xml:space="preserve">      </w:t>
      </w:r>
      <w:r w:rsidR="00A97839" w:rsidRPr="00C70CE5">
        <w:rPr>
          <w:sz w:val="28"/>
          <w:szCs w:val="28"/>
        </w:rPr>
        <w:t xml:space="preserve">   </w:t>
      </w:r>
      <w:proofErr w:type="spellStart"/>
      <w:r w:rsidR="00A97839" w:rsidRPr="00C70CE5">
        <w:rPr>
          <w:sz w:val="28"/>
          <w:szCs w:val="28"/>
        </w:rPr>
        <w:t>Р.Р.Мушарапов</w:t>
      </w:r>
      <w:proofErr w:type="spellEnd"/>
    </w:p>
    <w:p w:rsidR="00A97839" w:rsidRDefault="00A97839" w:rsidP="00A97839">
      <w:pPr>
        <w:ind w:left="-709"/>
        <w:jc w:val="both"/>
        <w:rPr>
          <w:bCs/>
          <w:szCs w:val="28"/>
        </w:rPr>
      </w:pPr>
    </w:p>
    <w:p w:rsidR="00A97839" w:rsidRPr="00F302B1" w:rsidRDefault="00A97839" w:rsidP="00A97839">
      <w:pPr>
        <w:ind w:left="-709"/>
        <w:jc w:val="both"/>
        <w:rPr>
          <w:sz w:val="28"/>
          <w:szCs w:val="28"/>
        </w:rPr>
      </w:pPr>
    </w:p>
    <w:p w:rsidR="00D66F4C" w:rsidRPr="00F302B1" w:rsidRDefault="00D66F4C" w:rsidP="000D3B6C">
      <w:pPr>
        <w:ind w:left="-709" w:firstLine="709"/>
        <w:jc w:val="both"/>
        <w:rPr>
          <w:sz w:val="28"/>
          <w:szCs w:val="28"/>
        </w:rPr>
      </w:pPr>
    </w:p>
    <w:p w:rsidR="00D66F4C" w:rsidRDefault="00D66F4C" w:rsidP="000D3B6C">
      <w:pPr>
        <w:ind w:left="-709" w:firstLine="709"/>
        <w:jc w:val="both"/>
        <w:rPr>
          <w:sz w:val="28"/>
        </w:rPr>
      </w:pPr>
    </w:p>
    <w:p w:rsidR="00F33D46" w:rsidRPr="00FE4929" w:rsidRDefault="00F33D46" w:rsidP="002D7341">
      <w:pPr>
        <w:ind w:left="-709" w:firstLine="709"/>
        <w:jc w:val="both"/>
        <w:rPr>
          <w:sz w:val="28"/>
        </w:rPr>
      </w:pPr>
    </w:p>
    <w:p w:rsidR="004477B9" w:rsidRDefault="004477B9" w:rsidP="002D7341">
      <w:pPr>
        <w:ind w:left="-709" w:firstLine="709"/>
        <w:jc w:val="both"/>
        <w:rPr>
          <w:sz w:val="28"/>
          <w:szCs w:val="28"/>
        </w:rPr>
      </w:pPr>
    </w:p>
    <w:p w:rsidR="003358B7" w:rsidRPr="00843ABE" w:rsidRDefault="003358B7" w:rsidP="002D7341">
      <w:pPr>
        <w:ind w:left="-709" w:firstLine="709"/>
        <w:jc w:val="both"/>
        <w:rPr>
          <w:sz w:val="28"/>
          <w:szCs w:val="28"/>
        </w:rPr>
      </w:pPr>
    </w:p>
    <w:sectPr w:rsidR="003358B7" w:rsidRPr="00843ABE" w:rsidSect="00851DE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F0"/>
    <w:rsid w:val="00002D53"/>
    <w:rsid w:val="0003260E"/>
    <w:rsid w:val="00074BCD"/>
    <w:rsid w:val="000C4D8A"/>
    <w:rsid w:val="000D3B6C"/>
    <w:rsid w:val="000F2F11"/>
    <w:rsid w:val="000F399E"/>
    <w:rsid w:val="00140484"/>
    <w:rsid w:val="001561F8"/>
    <w:rsid w:val="00156897"/>
    <w:rsid w:val="001F5689"/>
    <w:rsid w:val="00216908"/>
    <w:rsid w:val="002310C8"/>
    <w:rsid w:val="002548EF"/>
    <w:rsid w:val="00270DDF"/>
    <w:rsid w:val="00285A37"/>
    <w:rsid w:val="0028797B"/>
    <w:rsid w:val="00295772"/>
    <w:rsid w:val="002B7C9F"/>
    <w:rsid w:val="002D7341"/>
    <w:rsid w:val="00321281"/>
    <w:rsid w:val="0032299F"/>
    <w:rsid w:val="003358B7"/>
    <w:rsid w:val="00351614"/>
    <w:rsid w:val="00361EAB"/>
    <w:rsid w:val="0036591D"/>
    <w:rsid w:val="00381831"/>
    <w:rsid w:val="003D6EF7"/>
    <w:rsid w:val="00400226"/>
    <w:rsid w:val="00437B57"/>
    <w:rsid w:val="004477B9"/>
    <w:rsid w:val="00462923"/>
    <w:rsid w:val="00492C04"/>
    <w:rsid w:val="00493BF0"/>
    <w:rsid w:val="0049464B"/>
    <w:rsid w:val="004C0894"/>
    <w:rsid w:val="005026C9"/>
    <w:rsid w:val="005059A7"/>
    <w:rsid w:val="00513E22"/>
    <w:rsid w:val="00582113"/>
    <w:rsid w:val="005832F4"/>
    <w:rsid w:val="00590B1B"/>
    <w:rsid w:val="005A14C8"/>
    <w:rsid w:val="005C0AFF"/>
    <w:rsid w:val="005C2F9D"/>
    <w:rsid w:val="005D110D"/>
    <w:rsid w:val="005D2D52"/>
    <w:rsid w:val="006353CF"/>
    <w:rsid w:val="0065581C"/>
    <w:rsid w:val="00680CCC"/>
    <w:rsid w:val="00684994"/>
    <w:rsid w:val="00687B41"/>
    <w:rsid w:val="006D6069"/>
    <w:rsid w:val="006F1251"/>
    <w:rsid w:val="006F5BB1"/>
    <w:rsid w:val="00710188"/>
    <w:rsid w:val="00765E7F"/>
    <w:rsid w:val="007667E5"/>
    <w:rsid w:val="00771BDD"/>
    <w:rsid w:val="007B4540"/>
    <w:rsid w:val="007B5F77"/>
    <w:rsid w:val="007D06D9"/>
    <w:rsid w:val="007F1B2C"/>
    <w:rsid w:val="00807061"/>
    <w:rsid w:val="00820085"/>
    <w:rsid w:val="00851DE8"/>
    <w:rsid w:val="00891A28"/>
    <w:rsid w:val="008B4438"/>
    <w:rsid w:val="008D1E37"/>
    <w:rsid w:val="008F6328"/>
    <w:rsid w:val="009425A6"/>
    <w:rsid w:val="009475FC"/>
    <w:rsid w:val="00966637"/>
    <w:rsid w:val="009767AA"/>
    <w:rsid w:val="00983EEB"/>
    <w:rsid w:val="00985A86"/>
    <w:rsid w:val="009919F9"/>
    <w:rsid w:val="009A03B9"/>
    <w:rsid w:val="009E5DE6"/>
    <w:rsid w:val="00A14A40"/>
    <w:rsid w:val="00A451A2"/>
    <w:rsid w:val="00A57794"/>
    <w:rsid w:val="00A90B68"/>
    <w:rsid w:val="00A971A8"/>
    <w:rsid w:val="00A97839"/>
    <w:rsid w:val="00AA475A"/>
    <w:rsid w:val="00AB6481"/>
    <w:rsid w:val="00AC4E52"/>
    <w:rsid w:val="00AD388F"/>
    <w:rsid w:val="00AD5C1E"/>
    <w:rsid w:val="00B2284A"/>
    <w:rsid w:val="00B63AB1"/>
    <w:rsid w:val="00B750F8"/>
    <w:rsid w:val="00B77020"/>
    <w:rsid w:val="00B770B2"/>
    <w:rsid w:val="00BD578D"/>
    <w:rsid w:val="00BF0565"/>
    <w:rsid w:val="00BF08E7"/>
    <w:rsid w:val="00C32486"/>
    <w:rsid w:val="00C71D07"/>
    <w:rsid w:val="00C74817"/>
    <w:rsid w:val="00CA7677"/>
    <w:rsid w:val="00CD2FFF"/>
    <w:rsid w:val="00CF6786"/>
    <w:rsid w:val="00CF722E"/>
    <w:rsid w:val="00D1414D"/>
    <w:rsid w:val="00D1490F"/>
    <w:rsid w:val="00D27C56"/>
    <w:rsid w:val="00D32EDC"/>
    <w:rsid w:val="00D34FA1"/>
    <w:rsid w:val="00D51257"/>
    <w:rsid w:val="00D520B6"/>
    <w:rsid w:val="00D65384"/>
    <w:rsid w:val="00D66F4C"/>
    <w:rsid w:val="00D706B4"/>
    <w:rsid w:val="00D828BD"/>
    <w:rsid w:val="00D859A1"/>
    <w:rsid w:val="00D919E3"/>
    <w:rsid w:val="00DA0B6C"/>
    <w:rsid w:val="00DC2E0F"/>
    <w:rsid w:val="00DD2174"/>
    <w:rsid w:val="00E16192"/>
    <w:rsid w:val="00E16A43"/>
    <w:rsid w:val="00E40674"/>
    <w:rsid w:val="00E56189"/>
    <w:rsid w:val="00E627E3"/>
    <w:rsid w:val="00E94730"/>
    <w:rsid w:val="00EC1B1C"/>
    <w:rsid w:val="00EE7C1C"/>
    <w:rsid w:val="00EF04B2"/>
    <w:rsid w:val="00F1489A"/>
    <w:rsid w:val="00F20D28"/>
    <w:rsid w:val="00F26263"/>
    <w:rsid w:val="00F33D46"/>
    <w:rsid w:val="00F4050F"/>
    <w:rsid w:val="00F5517C"/>
    <w:rsid w:val="00F6579E"/>
    <w:rsid w:val="00F73C0A"/>
    <w:rsid w:val="00FB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7A8B3-33FC-4B35-BD53-149AE401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58B7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rsid w:val="00B63A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AC4E5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C4E5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767A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9767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CA7677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A76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3">
    <w:name w:val="Font Style13"/>
    <w:rsid w:val="004C0894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Основной текст (3)_"/>
    <w:link w:val="30"/>
    <w:locked/>
    <w:rsid w:val="004C089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894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978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D520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20B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user</cp:lastModifiedBy>
  <cp:revision>117</cp:revision>
  <cp:lastPrinted>2018-10-12T04:42:00Z</cp:lastPrinted>
  <dcterms:created xsi:type="dcterms:W3CDTF">2017-06-19T06:48:00Z</dcterms:created>
  <dcterms:modified xsi:type="dcterms:W3CDTF">2020-10-05T11:36:00Z</dcterms:modified>
</cp:coreProperties>
</file>