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43" w:rsidRPr="00055C21" w:rsidRDefault="00E16A43" w:rsidP="00E16A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055C2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E16A43" w:rsidRPr="00055C21" w:rsidRDefault="00E16A43" w:rsidP="00E16A43">
      <w:pPr>
        <w:jc w:val="center"/>
        <w:rPr>
          <w:sz w:val="24"/>
          <w:szCs w:val="24"/>
        </w:rPr>
      </w:pPr>
      <w:r w:rsidRPr="00055C21">
        <w:rPr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E16A43" w:rsidRPr="00055C21" w:rsidRDefault="00E16A43" w:rsidP="00E16A43">
      <w:pPr>
        <w:jc w:val="center"/>
        <w:rPr>
          <w:sz w:val="24"/>
          <w:szCs w:val="24"/>
        </w:rPr>
      </w:pPr>
      <w:r w:rsidRPr="00055C21">
        <w:rPr>
          <w:sz w:val="24"/>
          <w:szCs w:val="24"/>
        </w:rPr>
        <w:t xml:space="preserve">                                                                                    городского округа город Стерлитамак</w:t>
      </w:r>
    </w:p>
    <w:p w:rsidR="00E16A43" w:rsidRPr="00055C21" w:rsidRDefault="00E16A43" w:rsidP="00E16A43">
      <w:pPr>
        <w:jc w:val="center"/>
        <w:rPr>
          <w:sz w:val="24"/>
          <w:szCs w:val="24"/>
        </w:rPr>
      </w:pPr>
      <w:r w:rsidRPr="00055C21">
        <w:rPr>
          <w:sz w:val="24"/>
          <w:szCs w:val="24"/>
        </w:rPr>
        <w:t xml:space="preserve">                                                                Республики Башкортостан</w:t>
      </w:r>
    </w:p>
    <w:p w:rsidR="00E16A43" w:rsidRPr="00055C21" w:rsidRDefault="00E16A43" w:rsidP="00E16A43">
      <w:pPr>
        <w:jc w:val="center"/>
        <w:rPr>
          <w:sz w:val="24"/>
          <w:szCs w:val="24"/>
        </w:rPr>
      </w:pPr>
      <w:r w:rsidRPr="00055C21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</w:t>
      </w:r>
      <w:r w:rsidRPr="00055C21">
        <w:rPr>
          <w:sz w:val="24"/>
          <w:szCs w:val="24"/>
        </w:rPr>
        <w:t xml:space="preserve"> от ______________ № _______</w:t>
      </w:r>
    </w:p>
    <w:p w:rsidR="00E16A43" w:rsidRDefault="00E16A43" w:rsidP="009767AA">
      <w:pPr>
        <w:pStyle w:val="a7"/>
      </w:pPr>
    </w:p>
    <w:p w:rsidR="0036591D" w:rsidRDefault="0036591D" w:rsidP="009767AA">
      <w:pPr>
        <w:pStyle w:val="a7"/>
      </w:pPr>
      <w:r>
        <w:t xml:space="preserve">Сценарные условия </w:t>
      </w:r>
    </w:p>
    <w:p w:rsidR="0036591D" w:rsidRDefault="0036591D" w:rsidP="009767AA">
      <w:pPr>
        <w:pStyle w:val="a7"/>
      </w:pPr>
      <w:r>
        <w:t xml:space="preserve">функционирования экономики </w:t>
      </w:r>
      <w:r w:rsidR="009767AA">
        <w:t>городского округа город Стерлитамак</w:t>
      </w:r>
    </w:p>
    <w:p w:rsidR="009767AA" w:rsidRDefault="0036591D" w:rsidP="009767AA">
      <w:pPr>
        <w:pStyle w:val="a7"/>
      </w:pPr>
      <w:r>
        <w:t>Республики Башкортостан</w:t>
      </w:r>
      <w:r w:rsidR="00D520B6">
        <w:t xml:space="preserve"> на 202</w:t>
      </w:r>
      <w:r w:rsidR="00BF00FF">
        <w:t>2</w:t>
      </w:r>
      <w:r w:rsidR="00D520B6">
        <w:t>-202</w:t>
      </w:r>
      <w:r w:rsidR="00BF00FF">
        <w:t>4</w:t>
      </w:r>
      <w:r w:rsidR="009767AA">
        <w:t xml:space="preserve"> г</w:t>
      </w:r>
      <w:r>
        <w:t>оды</w:t>
      </w:r>
    </w:p>
    <w:p w:rsidR="009767AA" w:rsidRDefault="009767AA" w:rsidP="009767AA">
      <w:pPr>
        <w:ind w:firstLine="708"/>
        <w:jc w:val="center"/>
        <w:rPr>
          <w:sz w:val="28"/>
          <w:szCs w:val="28"/>
        </w:rPr>
      </w:pPr>
    </w:p>
    <w:p w:rsidR="007F74BC" w:rsidRDefault="007F74BC" w:rsidP="007F74BC">
      <w:pPr>
        <w:pStyle w:val="22"/>
        <w:shd w:val="clear" w:color="auto" w:fill="auto"/>
        <w:spacing w:before="0" w:line="276" w:lineRule="auto"/>
        <w:ind w:firstLine="6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bidi="ru-RU"/>
        </w:rPr>
        <w:t xml:space="preserve">Показатели прогноза </w:t>
      </w:r>
      <w:r>
        <w:rPr>
          <w:sz w:val="28"/>
          <w:szCs w:val="28"/>
        </w:rPr>
        <w:t>функционирования экономики</w:t>
      </w:r>
      <w:r>
        <w:t xml:space="preserve"> </w:t>
      </w:r>
      <w:r>
        <w:rPr>
          <w:color w:val="000000"/>
          <w:sz w:val="28"/>
          <w:szCs w:val="28"/>
          <w:lang w:bidi="ru-RU"/>
        </w:rPr>
        <w:t xml:space="preserve">сформированы с учетом целевых показателей, утверждённых распоряжением Правительства Республики Башкортостан от 05.06.2020г. № 553-р, Стратегией социально-экономического развития </w:t>
      </w:r>
      <w:r>
        <w:rPr>
          <w:sz w:val="28"/>
          <w:szCs w:val="28"/>
        </w:rPr>
        <w:t>городского округа город Стерлитамак Республики Башкортостан</w:t>
      </w:r>
      <w:r>
        <w:rPr>
          <w:color w:val="000000"/>
          <w:sz w:val="28"/>
          <w:szCs w:val="28"/>
          <w:lang w:bidi="ru-RU"/>
        </w:rPr>
        <w:t xml:space="preserve"> до 2030 года. </w:t>
      </w:r>
      <w:r>
        <w:rPr>
          <w:color w:val="000000"/>
          <w:sz w:val="28"/>
          <w:szCs w:val="28"/>
          <w:lang w:eastAsia="ru-RU" w:bidi="ru-RU"/>
        </w:rPr>
        <w:t>Прогноз социально-экономического развития</w:t>
      </w:r>
      <w:r>
        <w:rPr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color w:val="000000"/>
          <w:sz w:val="28"/>
          <w:szCs w:val="28"/>
          <w:lang w:eastAsia="ru-RU" w:bidi="ru-RU"/>
        </w:rPr>
        <w:t xml:space="preserve"> разработан в 3</w:t>
      </w:r>
      <w:r>
        <w:rPr>
          <w:color w:val="000000"/>
          <w:sz w:val="28"/>
          <w:szCs w:val="28"/>
          <w:lang w:eastAsia="ru-RU" w:bidi="ru-RU"/>
        </w:rPr>
        <w:softHyphen/>
        <w:t>-х вариантах: базовый, консервативный и целевой.</w:t>
      </w:r>
    </w:p>
    <w:p w:rsidR="007F74BC" w:rsidRDefault="007F74BC" w:rsidP="007F74BC">
      <w:pPr>
        <w:pStyle w:val="22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Различия в количественных оценках этих вариантов определяются степенью влияния благоприятных и неблагоприятных тенденций и факторов социально-экономического развития.</w:t>
      </w:r>
    </w:p>
    <w:p w:rsidR="007F74BC" w:rsidRDefault="007F74BC" w:rsidP="007F74BC">
      <w:pPr>
        <w:pStyle w:val="22"/>
        <w:shd w:val="clear" w:color="auto" w:fill="auto"/>
        <w:spacing w:before="0" w:line="276" w:lineRule="auto"/>
        <w:ind w:firstLine="6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Исходя из прогноза основных показателей, социально-экономическое развитие городского округа город Стерлитамак в 2022 году и в период до 2024 года   будет развиваться по базовому (бюджетному варианту), основанном на относительно устойчивой комбинации внешних и внутренних условий. </w:t>
      </w:r>
    </w:p>
    <w:p w:rsidR="007F74BC" w:rsidRDefault="007F74BC" w:rsidP="007F74BC">
      <w:pPr>
        <w:pStyle w:val="22"/>
        <w:shd w:val="clear" w:color="auto" w:fill="auto"/>
        <w:spacing w:before="0" w:line="276" w:lineRule="auto"/>
        <w:ind w:firstLine="600"/>
        <w:rPr>
          <w:color w:val="000000"/>
          <w:sz w:val="28"/>
          <w:szCs w:val="28"/>
          <w:highlight w:val="yellow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Основное влияние на оценку ситуации и прогноз на среднесрочную и долгосрочную перспективу в целом по городу, оказывают предприятия «Производства химических веществ и химических продуктов», составляющие в среднем 78% от всего промышленного производства города По оценке 2021 года объем отгруженных товаров собственного производства, выполненных работ и услуг собственными силами по чистому виду экономической деятельности «Промышленное производство» по полному кругу организаций составит 122,8 млрд руб. в действующих ценах, в сопоставимой оценке произойдет увеличение к 2020 году на 12,3 % или    13,3 млрд рублей.</w:t>
      </w:r>
      <w:r>
        <w:rPr>
          <w:color w:val="000000"/>
          <w:sz w:val="28"/>
          <w:szCs w:val="28"/>
          <w:highlight w:val="yellow"/>
          <w:lang w:eastAsia="ru-RU" w:bidi="ru-RU"/>
        </w:rPr>
        <w:t xml:space="preserve"> </w:t>
      </w:r>
    </w:p>
    <w:p w:rsidR="007F74BC" w:rsidRDefault="007F74BC" w:rsidP="007F74BC">
      <w:pPr>
        <w:pStyle w:val="22"/>
        <w:shd w:val="clear" w:color="auto" w:fill="auto"/>
        <w:spacing w:before="0" w:line="276" w:lineRule="auto"/>
        <w:ind w:firstLine="6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перспективе на 2022-2024 годы по чистому виду экономической деятельности «Промышленное производство» по полному кругу предприятий прогнозируется:</w:t>
      </w:r>
    </w:p>
    <w:p w:rsidR="007F74BC" w:rsidRDefault="007F74BC" w:rsidP="007F74BC">
      <w:pPr>
        <w:pStyle w:val="22"/>
        <w:shd w:val="clear" w:color="auto" w:fill="auto"/>
        <w:spacing w:before="0" w:line="276" w:lineRule="auto"/>
        <w:ind w:firstLine="6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по консервативному варианту 2% роста объема отгруженных товаров, работ и услуг от 122 млрд руб. до 124,6 млрд руб.</w:t>
      </w:r>
    </w:p>
    <w:p w:rsidR="007F74BC" w:rsidRDefault="007F74BC" w:rsidP="007F74BC">
      <w:pPr>
        <w:pStyle w:val="22"/>
        <w:shd w:val="clear" w:color="auto" w:fill="auto"/>
        <w:spacing w:before="0" w:line="276" w:lineRule="auto"/>
        <w:ind w:firstLine="6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 по базовому варианту увеличение на 3,6% от 124,1 млрд руб. до 128,6 млрд руб., </w:t>
      </w:r>
    </w:p>
    <w:p w:rsidR="007F74BC" w:rsidRDefault="007F74BC" w:rsidP="007F74BC">
      <w:pPr>
        <w:pStyle w:val="22"/>
        <w:shd w:val="clear" w:color="auto" w:fill="auto"/>
        <w:spacing w:before="0" w:line="276" w:lineRule="auto"/>
        <w:ind w:firstLine="6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-  и увеличение на 5,2 % по целевому варианту в 2024 году от 125,7 млрд руб. до 132,2 млрд руб. </w:t>
      </w:r>
    </w:p>
    <w:p w:rsidR="007F74BC" w:rsidRDefault="007F74BC" w:rsidP="007F74BC">
      <w:pPr>
        <w:spacing w:line="276" w:lineRule="auto"/>
        <w:ind w:firstLine="720"/>
        <w:jc w:val="both"/>
        <w:rPr>
          <w:sz w:val="28"/>
          <w:szCs w:val="28"/>
          <w:highlight w:val="yellow"/>
        </w:rPr>
      </w:pPr>
      <w:r>
        <w:rPr>
          <w:bCs/>
          <w:spacing w:val="-6"/>
          <w:sz w:val="28"/>
          <w:szCs w:val="28"/>
        </w:rPr>
        <w:lastRenderedPageBreak/>
        <w:t>По оценке 2021 года оборот розничной торговли ожидается на уровне 101,5% в сопоставимой оценке или 89,3 млрд руб</w:t>
      </w:r>
      <w:r>
        <w:rPr>
          <w:sz w:val="28"/>
          <w:szCs w:val="28"/>
        </w:rPr>
        <w:t xml:space="preserve">. </w:t>
      </w:r>
      <w:r>
        <w:rPr>
          <w:bCs/>
          <w:spacing w:val="-6"/>
          <w:sz w:val="28"/>
          <w:szCs w:val="28"/>
        </w:rPr>
        <w:t xml:space="preserve">В прогнозном периоде динамика развития розничной торговли и потребительского спроса будет определяться сохранением денежных доходов населения (без значительного увеличения), умеренным потребительским кредитованием и развитой инфраструктурой потребительского рынка.  </w:t>
      </w:r>
      <w:r>
        <w:rPr>
          <w:bCs/>
          <w:sz w:val="28"/>
          <w:szCs w:val="28"/>
        </w:rPr>
        <w:t xml:space="preserve">Согласно прогнозным расчетам в период 2022-2024 годов по базовому варианту темпы роста оборота розничной торговли ожидаются в границах 102,8%-103%, по целевому варианту – 103,2-103,5%. </w:t>
      </w:r>
      <w:r>
        <w:rPr>
          <w:sz w:val="28"/>
          <w:szCs w:val="28"/>
        </w:rPr>
        <w:t xml:space="preserve">В 2024 году по целевому варианту оборот розничной торговли оценивается более чем в 98,3 млрд руб. </w:t>
      </w:r>
    </w:p>
    <w:p w:rsidR="007F74BC" w:rsidRDefault="007F74BC" w:rsidP="007F74BC">
      <w:pPr>
        <w:tabs>
          <w:tab w:val="left" w:pos="993"/>
        </w:tabs>
        <w:spacing w:line="276" w:lineRule="auto"/>
        <w:ind w:firstLine="851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О</w:t>
      </w:r>
      <w:r>
        <w:rPr>
          <w:sz w:val="28"/>
        </w:rPr>
        <w:t>бъем реализации платных услуг населению во всех каналах реализации в 2021 году оценивается в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9 млрд руб., что в сопоставимой оценке соответствует 100,4%. Наибольший удельный вес в абсолютном выражении приходится на оказание коммунальных и жилищных услуг, бытовых услуг, услуг образования, транспорта и связи, здравоохранения. </w:t>
      </w:r>
      <w:r>
        <w:rPr>
          <w:bCs/>
          <w:sz w:val="28"/>
          <w:szCs w:val="28"/>
        </w:rPr>
        <w:t xml:space="preserve">Согласно прогнозным расчетам в период 2022-2024 годов по базовому варианту темпы роста объема реализации платных услуг населению ожидаются 104,7%, по целевому варианту – 104,8%. </w:t>
      </w:r>
    </w:p>
    <w:p w:rsidR="007F74BC" w:rsidRDefault="007F74BC" w:rsidP="007F74BC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целом по городу, инвестиционный портфель на 82% сформирован из </w:t>
      </w:r>
      <w:r>
        <w:rPr>
          <w:sz w:val="28"/>
          <w:szCs w:val="28"/>
        </w:rPr>
        <w:t xml:space="preserve">средств крупных и средних предприятий и организаций. Инвестиции в основной капитал за счет всех источников финансирования (без учета субъектов малого предпринимательства) по 0оценке 2021 года составят 7,9 млрд руб., что в сопоставимой оценке ниже уровня 2020 года на 6,6%.) </w:t>
      </w:r>
      <w:r>
        <w:rPr>
          <w:bCs/>
          <w:color w:val="000000"/>
          <w:sz w:val="28"/>
          <w:szCs w:val="28"/>
        </w:rPr>
        <w:t xml:space="preserve">На снижение объема инвестиций в основной капитал (за исключением бюджетных средств) повлияло падение объема инвестиций на промышленных предприятиях города в химическом производстве формирующих основную долю. </w:t>
      </w:r>
    </w:p>
    <w:p w:rsidR="007F74BC" w:rsidRDefault="007F74BC" w:rsidP="007F74BC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Средства республиканского бюджета в плановом периоде планируется направить на строительство дороги по улице Ботаническая, Крымская, проспект Академика Королева от улицы Суханова с выездом на улицу Гоголя в жилом районе "Прибрежный", строительство детского сада №1 на 190 мест в мкр.5 квартал «А» Западного жилого района, строительство детского сада на 260 мест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№1 «Прибрежный» 1 очередь.</w:t>
      </w:r>
      <w:r>
        <w:rPr>
          <w:sz w:val="28"/>
          <w:szCs w:val="28"/>
          <w:highlight w:val="yellow"/>
        </w:rPr>
        <w:t xml:space="preserve"> </w:t>
      </w:r>
    </w:p>
    <w:p w:rsidR="007F74BC" w:rsidRDefault="007F74BC" w:rsidP="007F74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по базовому варианту инвестиции в основной капитал за счет всех источников финансирования (без субъектов малого предпринимательства) запланированы с ростом 103% к предыдущему году в сопоставимых ценах, в 2023 году 101,5%, в 2024 году 40%</w:t>
      </w:r>
      <w:r>
        <w:rPr>
          <w:szCs w:val="28"/>
        </w:rPr>
        <w:t xml:space="preserve">. </w:t>
      </w:r>
      <w:r>
        <w:rPr>
          <w:sz w:val="28"/>
          <w:szCs w:val="28"/>
        </w:rPr>
        <w:t>Основное увеличение в 2022 и 2023 годах объясняется наибольшим вложением средства АО «БСК» на установку</w:t>
      </w:r>
      <w:r>
        <w:rPr>
          <w:color w:val="000000"/>
          <w:sz w:val="28"/>
          <w:szCs w:val="28"/>
        </w:rPr>
        <w:t xml:space="preserve"> по производству хлора и каустической соды методом мембранного электролиза. </w:t>
      </w:r>
      <w:r>
        <w:rPr>
          <w:sz w:val="28"/>
          <w:szCs w:val="28"/>
        </w:rPr>
        <w:t xml:space="preserve">Снижение в 2024 году объясняется завершением инвестиционного проекта АО «БСК» </w:t>
      </w:r>
      <w:r>
        <w:rPr>
          <w:color w:val="000000"/>
          <w:sz w:val="28"/>
          <w:szCs w:val="28"/>
        </w:rPr>
        <w:t>по производству хлора и каустической соды методом мембранного электролиза.</w:t>
      </w:r>
    </w:p>
    <w:p w:rsidR="007F74BC" w:rsidRDefault="007F74BC" w:rsidP="007F74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планируется, построить и ввести в эксплуатацию 70,0 тыс. кв. м. жилья, что ниже уровня 2020 года на 26,11%, </w:t>
      </w:r>
      <w:r>
        <w:rPr>
          <w:sz w:val="28"/>
          <w:szCs w:val="26"/>
        </w:rPr>
        <w:t xml:space="preserve">снижение обусловлено простоем строительных организаций в период пандемии </w:t>
      </w:r>
      <w:proofErr w:type="spellStart"/>
      <w:r>
        <w:rPr>
          <w:sz w:val="28"/>
          <w:szCs w:val="26"/>
        </w:rPr>
        <w:t>коронавирусной</w:t>
      </w:r>
      <w:proofErr w:type="spellEnd"/>
      <w:r>
        <w:rPr>
          <w:sz w:val="28"/>
          <w:szCs w:val="26"/>
        </w:rPr>
        <w:t xml:space="preserve"> инфекции </w:t>
      </w:r>
      <w:r>
        <w:rPr>
          <w:sz w:val="28"/>
          <w:szCs w:val="26"/>
          <w:lang w:val="en-US"/>
        </w:rPr>
        <w:t>COVID</w:t>
      </w:r>
      <w:r>
        <w:rPr>
          <w:sz w:val="28"/>
          <w:szCs w:val="26"/>
        </w:rPr>
        <w:t>-19.</w:t>
      </w:r>
    </w:p>
    <w:p w:rsidR="007F74BC" w:rsidRDefault="007F74BC" w:rsidP="007F74BC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настоящее время на территории города строится 7 многоквартирных домов со сроками ввода в эксплуатацию в 2021-2022г.г. Продолжается строительство жилых домов жилого района «Прибрежный-1», </w:t>
      </w:r>
      <w:proofErr w:type="spellStart"/>
      <w:r>
        <w:rPr>
          <w:sz w:val="28"/>
          <w:szCs w:val="26"/>
        </w:rPr>
        <w:t>мкр</w:t>
      </w:r>
      <w:proofErr w:type="spellEnd"/>
      <w:r>
        <w:rPr>
          <w:sz w:val="28"/>
          <w:szCs w:val="26"/>
        </w:rPr>
        <w:t xml:space="preserve">. №2,5 Западного жилого района города, в квартале жилой застройки в границах улиц </w:t>
      </w:r>
      <w:proofErr w:type="spellStart"/>
      <w:r>
        <w:rPr>
          <w:sz w:val="28"/>
          <w:szCs w:val="26"/>
        </w:rPr>
        <w:t>Волочаевская</w:t>
      </w:r>
      <w:proofErr w:type="spellEnd"/>
      <w:r>
        <w:rPr>
          <w:sz w:val="28"/>
          <w:szCs w:val="26"/>
        </w:rPr>
        <w:t xml:space="preserve">, Добролюбова, Николаева, на территории бывшей воинской части. </w:t>
      </w:r>
    </w:p>
    <w:p w:rsidR="007F74BC" w:rsidRDefault="007F74BC" w:rsidP="007F74BC">
      <w:pPr>
        <w:pStyle w:val="a5"/>
        <w:tabs>
          <w:tab w:val="left" w:pos="708"/>
          <w:tab w:val="center" w:pos="594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апреле 2021 года введен в эксплуатацию детский сад на 260 мест в микрорайоне 4А Западного жилого района. В июле 2021 года введен в эксплуатацию детский сад №1 на 90 мест в микрорайоне 7Б. Завершается строительство детского сада № 2 на 90 мест в микрорайоне 7Б Западный. </w:t>
      </w:r>
    </w:p>
    <w:p w:rsidR="007F74BC" w:rsidRDefault="007F74BC" w:rsidP="007F74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среднесрочном периоде тенденция роста вводимых объектов жилищного строительства по городу прогнозируется на уровне: 65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 xml:space="preserve">. в 2022 году,110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 xml:space="preserve">. в 2023 году, 114,1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>. в 2024 году.</w:t>
      </w:r>
    </w:p>
    <w:p w:rsidR="007F74BC" w:rsidRDefault="007F74BC" w:rsidP="007F74BC">
      <w:pPr>
        <w:spacing w:line="276" w:lineRule="auto"/>
        <w:ind w:hanging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Объем валовой продукции сельского хозяйства по оценке 2021 года составит 465 млн руб., 100,2 % в сопоставимой оценке к уровню 2020 года. Прогноз до 2024 года рассчитан с учетом тенденции развития подсобных хозяйств колонии и личных подсобных хозяйств. Удельный вес отрасли в общем объеме производства и отгрузки товаров и услуг за 2020 год составляет 0,02%, это незначительная доля на фоне промышленного производства.</w:t>
      </w:r>
    </w:p>
    <w:p w:rsidR="007F74BC" w:rsidRDefault="007F74BC" w:rsidP="007F74BC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Прибыль прибыльных организаций за 2020 год составила 19,4 млрд руб., сальдированный финансовый результат по всем видам деятельности за 2020 год -  18,3 млрд руб., со снижением к 2019 году на 5,5%.   На долю предприятий обрабатывающих производств (это основной вид деятельности экономики города), приходится 91% от общегородского сальдо прибылей и убытков-17,7 млрд руб. Наибольшую долю в общую прибыль внесли предприятия химического производства, их доля в общем объеме сальдо прибылей и убытков по городу составила 86,5%. </w:t>
      </w:r>
      <w:r>
        <w:rPr>
          <w:sz w:val="28"/>
          <w:szCs w:val="28"/>
        </w:rPr>
        <w:tab/>
      </w:r>
    </w:p>
    <w:p w:rsidR="007F74BC" w:rsidRDefault="007F74BC" w:rsidP="007F74BC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 оценке, сформированной на основании прогнозных данных предприятий, в 2021 году ожидается увеличение суммы прибыли за счет снижения себестоимости отдельных видов продукции и курсовой разницы валюты. При прогнозировании прибыли на перспективу учитывалась их динамика в предыдущие годы, тенденции развития видов экономической деятельности, уровень инвестиционной активности. Прогноз на 2022 год и среднесрочную перспективу до 2024 года по объему прибыли составлен на основе данных предприятий и организаций города с учетом сценарных условий по вариантности, на уровне не ниже прогнозируемой оценки                  2021 года. Структура </w:t>
      </w:r>
      <w:r>
        <w:rPr>
          <w:sz w:val="28"/>
          <w:szCs w:val="28"/>
        </w:rPr>
        <w:lastRenderedPageBreak/>
        <w:t xml:space="preserve">сальдированного финансового результата в основе сохранится, основную прибыль будут формировать предприятия химического производства. </w:t>
      </w:r>
    </w:p>
    <w:p w:rsidR="007F74BC" w:rsidRDefault="007F74BC" w:rsidP="007F74B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Среднегодовая численность населения по городскому округу город Стерлитамак по оценке 2021 года ожидается на уровне 273,3 тыс. человек со снижением к факту 2020 года на 0,7%, что непосредственно связано с отрицательной миграцией населения, которая наблюдается в Стерлитамаке с 2015 года. </w:t>
      </w:r>
    </w:p>
    <w:p w:rsidR="007F74BC" w:rsidRDefault="007F74BC" w:rsidP="007F74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2020 года </w:t>
      </w:r>
      <w:proofErr w:type="spellStart"/>
      <w:r>
        <w:rPr>
          <w:sz w:val="28"/>
          <w:szCs w:val="28"/>
        </w:rPr>
        <w:t>внутрирегиональная</w:t>
      </w:r>
      <w:proofErr w:type="spellEnd"/>
      <w:r>
        <w:rPr>
          <w:sz w:val="28"/>
          <w:szCs w:val="28"/>
        </w:rPr>
        <w:t xml:space="preserve"> миграция жителей Стерлитамака (т.е. в пределах Республики Башкортостан) составила только 17% от общей миграционной убыли населения. При этом внешняя миграция </w:t>
      </w:r>
      <w:proofErr w:type="spellStart"/>
      <w:r>
        <w:rPr>
          <w:sz w:val="28"/>
          <w:szCs w:val="28"/>
        </w:rPr>
        <w:t>стерлитамаковцев</w:t>
      </w:r>
      <w:proofErr w:type="spellEnd"/>
      <w:r>
        <w:rPr>
          <w:sz w:val="28"/>
          <w:szCs w:val="28"/>
        </w:rPr>
        <w:t xml:space="preserve"> составляет 83% от общей миграционной убыли населения города. Сложившаяся отрицательная тенденция продолжается и в текущем году. Отток населения, главным образом, объясняется поиском лучших и комфортных условий проживания в других регионах и странах (высокая оплата труда, наличие свободных рабочих мест, развитая инфраструктура). Кроме того, отрицательная миграция в городе усугубляется приобретением жителями города жилья в новостройках микрорайона «Лазурный» и строительством индивидуальных жилых домов в поселках Загородный и </w:t>
      </w:r>
      <w:proofErr w:type="spellStart"/>
      <w:r>
        <w:rPr>
          <w:sz w:val="28"/>
          <w:szCs w:val="28"/>
        </w:rPr>
        <w:t>Отрадовка</w:t>
      </w:r>
      <w:proofErr w:type="spellEnd"/>
      <w:r>
        <w:rPr>
          <w:sz w:val="28"/>
          <w:szCs w:val="28"/>
        </w:rPr>
        <w:t xml:space="preserve">, которые относятся к </w:t>
      </w:r>
      <w:proofErr w:type="spellStart"/>
      <w:r>
        <w:rPr>
          <w:sz w:val="28"/>
          <w:szCs w:val="28"/>
        </w:rPr>
        <w:t>Стерлитамакскому</w:t>
      </w:r>
      <w:proofErr w:type="spellEnd"/>
      <w:r>
        <w:rPr>
          <w:sz w:val="28"/>
          <w:szCs w:val="28"/>
        </w:rPr>
        <w:t xml:space="preserve"> району.</w:t>
      </w:r>
    </w:p>
    <w:p w:rsidR="007F74BC" w:rsidRDefault="007F74BC" w:rsidP="007F74B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Среднегодовая численность населения планируется со снижением в прогнозной перспективе по всем вариантам развития до 2024 года. По оценке 2021 года коэффициент миграционного убыли ожидается на уровне -38,5 человек на 10 тыс. населения. В прогнозной перспективе по целевому варианту 2024 года планируется устойчивая тенденция снижения миграционной убыли населения до -28,7 человек на 10 </w:t>
      </w:r>
      <w:proofErr w:type="spellStart"/>
      <w:r>
        <w:rPr>
          <w:sz w:val="28"/>
        </w:rPr>
        <w:t>тыс.населения</w:t>
      </w:r>
      <w:proofErr w:type="spellEnd"/>
      <w:r>
        <w:rPr>
          <w:sz w:val="28"/>
        </w:rPr>
        <w:t xml:space="preserve">. </w:t>
      </w:r>
    </w:p>
    <w:p w:rsidR="007F74BC" w:rsidRDefault="007F74BC" w:rsidP="007F74BC">
      <w:pPr>
        <w:spacing w:line="276" w:lineRule="auto"/>
        <w:ind w:firstLine="851"/>
        <w:jc w:val="both"/>
        <w:rPr>
          <w:color w:val="FF0000"/>
          <w:sz w:val="28"/>
        </w:rPr>
      </w:pPr>
      <w:r>
        <w:rPr>
          <w:sz w:val="28"/>
        </w:rPr>
        <w:t>Выравниванию демографической ситуации будут способствовать мероприятия республиканского уровня в данной сфере, а также</w:t>
      </w:r>
      <w:bookmarkStart w:id="0" w:name="_GoBack"/>
      <w:bookmarkEnd w:id="0"/>
      <w:r>
        <w:rPr>
          <w:sz w:val="28"/>
        </w:rPr>
        <w:t xml:space="preserve"> реализация мероприятий Стратегии развития городского округа город Стерлитамак до 2030 года. В результате реализации Стратегии-2030 отрицательная миграция населения перерастет в положительную за счет создания новых рабочих мест, развития дополнительной производственной и социальной инфраструктуры. Численность занятых в экономике города по оценке текущего года ожидается с небольшим увеличением к 2020 году – 82 </w:t>
      </w:r>
      <w:proofErr w:type="spellStart"/>
      <w:r>
        <w:rPr>
          <w:sz w:val="28"/>
        </w:rPr>
        <w:t>тыс.человек</w:t>
      </w:r>
      <w:proofErr w:type="spellEnd"/>
      <w:r>
        <w:rPr>
          <w:sz w:val="28"/>
        </w:rPr>
        <w:t xml:space="preserve">. В прогнозной перспективе численность занятых в экономике города планируется с увеличением, главным образом, на предприятиях малого бизнеса (в рамках целевых ориентиров по нацпроекту) за счет создания новых рабочих мест в реальном секторе экономики и социальной сфере, а также за счет сокращения числа лиц, занятых в домашнем хозяйстве, и снижения неформальной занятости. Этому будет способствовать деятельность органов власти различного уровня в части легализации трудовых ресурсов. </w:t>
      </w:r>
    </w:p>
    <w:p w:rsidR="007F74BC" w:rsidRDefault="007F74BC" w:rsidP="007F74B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По экспертной оценке 2021 года фонд заработной платы по полному кругу предприятий и организаций оценивается в 25 млрд рублей. По итогам 2020 года размер среднемесячной заработной платы по крупным и средним предприятиям</w:t>
      </w:r>
      <w:r>
        <w:rPr>
          <w:b/>
          <w:sz w:val="28"/>
        </w:rPr>
        <w:t xml:space="preserve"> </w:t>
      </w:r>
      <w:r>
        <w:rPr>
          <w:sz w:val="28"/>
        </w:rPr>
        <w:t xml:space="preserve">городского округа (по данным статистики) составил 39,4 тысяч рублей, прогнозируемое увеличение на 2021 год составляет 3,5% в номинальном исчислении, уровень среднемесячной заработной платы ожидается в размере 40,7 тысяч рублей. На 2022-2024 годы по базовому варианту развития экономики прогнозируется номинальное увеличение среднемесячной заработной платы на 3,8%-5,7% ежегодно, по целевому варианту – порядка 4,8%-5,9%. </w:t>
      </w:r>
    </w:p>
    <w:p w:rsidR="007F74BC" w:rsidRDefault="007F74BC" w:rsidP="007F74B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Исходя из расчетного фонда заработной платы в целом по городу и числа, занятых в экономике города, среднемесячная заработная плата с учетом субъектов малого предпринимательства по оценке 2021 года ожидается на уровне 26,6 тысяч рублей с увеличением к итогам 2020 года на 2,5% в номинальном выражении. </w:t>
      </w:r>
    </w:p>
    <w:p w:rsidR="007F74BC" w:rsidRDefault="007F74BC" w:rsidP="007F74BC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По оценке 2021 года уровень зарегистрированной безработицы ожидается на уровне 1,3% от числа экономически активного населения. Оценка текущего года значительно ниже фактического показателя 2020 года (5,05%). Р</w:t>
      </w:r>
      <w:r>
        <w:rPr>
          <w:color w:val="000000"/>
          <w:sz w:val="28"/>
        </w:rPr>
        <w:t xml:space="preserve">еальная ситуация на рынке труда остается достаточно стабильной, что позволяет прогнозировать уровень безработицы в рамках значений, предусмотренных аналогичным целевым индикатором </w:t>
      </w:r>
      <w:r>
        <w:rPr>
          <w:sz w:val="28"/>
          <w:szCs w:val="28"/>
        </w:rPr>
        <w:t>Стратегии-2030 ГО г. Стерлитамак.</w:t>
      </w:r>
    </w:p>
    <w:p w:rsidR="007F74BC" w:rsidRDefault="007F74BC" w:rsidP="007F74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 и среднее предпринимательство является неотъемлемым элементом современной рыночной экономики. Этот сектор экономики создает необходимую атмосферу конкуренции, быстро реагирует на любые изменения рыночной конъюнктуры, заполняет образующиеся ниши в потребительской сфере, создает дополнительные рабочие места. </w:t>
      </w:r>
    </w:p>
    <w:p w:rsidR="007F74BC" w:rsidRDefault="007F74BC" w:rsidP="007F74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2020 года в городском округе город Стерлитамак Республики Башкортостан зарегистрировано 7139 субъектов малого и среднего предпринимательства, в том числе: 225 малых предприятий (без учета микро предприятий), 2344 микро предприятий, 16 средних предприятий и 4554 индивидуальных предпринимателей. Индивидуальные предприниматели составляют 63,8% от общего числа субъектов малого и среднего предпринимательства. Отраслевая структура субъектов малого и среднего предпринимательства складывается следующим образом: в торговле занято 43,2% от общего числа субъектов малого и среднего бизнеса, в обрабатывающей промышленности – 8,6%, в строительстве – 11,7%, в сфере транспортировки и хранения – 6,9%, прочих видах экономической деятельности – 29,6%.</w:t>
      </w:r>
    </w:p>
    <w:p w:rsidR="007F74BC" w:rsidRDefault="007F74BC" w:rsidP="007F74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связанная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внесла свои коррективы в развитие бизнеса. Для поддержки субъектов малого и среднего предпринимательства на территории городского округа город Стерлитамак Республики Башкортостан приняты решения Совета муниципального образования  о снижении корректирующего коэффициента К2, </w:t>
      </w:r>
      <w:r>
        <w:rPr>
          <w:sz w:val="28"/>
          <w:szCs w:val="28"/>
        </w:rPr>
        <w:lastRenderedPageBreak/>
        <w:t>применяемого для исчисления налога на вмененный доход, освобождение от уплаты авансовых платежей по земельному налогу и освобождение от уплаты арендных платежей во 2-3 кварталах 2020 года, отсрочка уплаты платежей по договорам купли-продажи муниципального имущества во 2-3 кварталах 2020 года и на 2021 год,  введение моратория на проведение в 2020 году контрольно-надзорных мероприятий и наложение штрафов в отношении юридических лиц и индивидуальных предпринимателей, отнесенных в соответствии со  статьей 4 Федерального закона от 24.07.2007г. №209-ФЗ «О развитии малого и среднего предпринимательства в РФ» к субъектам малого и среднего предпринимательства, за исключением случаев, связанных с обеспечением безопасности жизнедеятельности граждан, предупреждения чрезвычайных ситуаций, разработан проект Решения Совета «О предоставлении отсрочки по внесению платы по договорам на установку и эксплуатацию рекламных конструкций на территории городского округа город Стерлитамак Республики Башкортостан».</w:t>
      </w:r>
    </w:p>
    <w:p w:rsidR="007F74BC" w:rsidRDefault="007F74BC" w:rsidP="007F74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принятых мер спрогнозирован рост количества субъектов малого и среднего предпринимательства на 2021 год до 7774 единиц. К концу 2024 года по целевому варианту количество субъектов МСП должно составить   с приростом на 17 %. </w:t>
      </w:r>
    </w:p>
    <w:p w:rsidR="00851DE8" w:rsidRDefault="00851DE8" w:rsidP="00D520B6">
      <w:pPr>
        <w:ind w:left="-709"/>
        <w:rPr>
          <w:sz w:val="28"/>
          <w:szCs w:val="28"/>
        </w:rPr>
      </w:pPr>
    </w:p>
    <w:p w:rsidR="00851DE8" w:rsidRDefault="00851DE8" w:rsidP="00D520B6">
      <w:pPr>
        <w:ind w:left="-709"/>
        <w:rPr>
          <w:sz w:val="28"/>
          <w:szCs w:val="28"/>
        </w:rPr>
      </w:pPr>
    </w:p>
    <w:p w:rsidR="00A97839" w:rsidRPr="00C70CE5" w:rsidRDefault="00851DE8" w:rsidP="00D520B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7839" w:rsidRPr="00C70CE5">
        <w:rPr>
          <w:sz w:val="28"/>
          <w:szCs w:val="28"/>
        </w:rPr>
        <w:t>Управляющий</w:t>
      </w:r>
      <w:r w:rsidR="00D520B6">
        <w:rPr>
          <w:sz w:val="28"/>
          <w:szCs w:val="28"/>
        </w:rPr>
        <w:t xml:space="preserve"> </w:t>
      </w:r>
      <w:r w:rsidR="00A97839" w:rsidRPr="00C70CE5">
        <w:rPr>
          <w:sz w:val="28"/>
          <w:szCs w:val="28"/>
        </w:rPr>
        <w:t xml:space="preserve">делами                                     </w:t>
      </w:r>
      <w:r w:rsidR="00D520B6">
        <w:rPr>
          <w:sz w:val="28"/>
          <w:szCs w:val="28"/>
        </w:rPr>
        <w:t xml:space="preserve">           </w:t>
      </w:r>
      <w:r w:rsidR="00A97839">
        <w:rPr>
          <w:sz w:val="28"/>
          <w:szCs w:val="28"/>
        </w:rPr>
        <w:t xml:space="preserve">         </w:t>
      </w:r>
      <w:r w:rsidR="00A97839" w:rsidRPr="00C70CE5">
        <w:rPr>
          <w:sz w:val="28"/>
          <w:szCs w:val="28"/>
        </w:rPr>
        <w:t xml:space="preserve">   </w:t>
      </w:r>
      <w:r w:rsidR="00A97839">
        <w:rPr>
          <w:sz w:val="28"/>
          <w:szCs w:val="28"/>
        </w:rPr>
        <w:t xml:space="preserve">      </w:t>
      </w:r>
      <w:r w:rsidR="007F74BC">
        <w:rPr>
          <w:sz w:val="28"/>
          <w:szCs w:val="28"/>
        </w:rPr>
        <w:t xml:space="preserve">          </w:t>
      </w:r>
      <w:r w:rsidR="00A97839" w:rsidRPr="00C70CE5">
        <w:rPr>
          <w:sz w:val="28"/>
          <w:szCs w:val="28"/>
        </w:rPr>
        <w:t xml:space="preserve">   </w:t>
      </w:r>
      <w:r w:rsidR="007F74BC">
        <w:rPr>
          <w:sz w:val="28"/>
          <w:szCs w:val="28"/>
        </w:rPr>
        <w:t>А</w:t>
      </w:r>
      <w:r w:rsidR="00A97839" w:rsidRPr="00C70CE5">
        <w:rPr>
          <w:sz w:val="28"/>
          <w:szCs w:val="28"/>
        </w:rPr>
        <w:t>.</w:t>
      </w:r>
      <w:r w:rsidR="007F74BC">
        <w:rPr>
          <w:sz w:val="28"/>
          <w:szCs w:val="28"/>
        </w:rPr>
        <w:t>В</w:t>
      </w:r>
      <w:r w:rsidR="00A97839" w:rsidRPr="00C70CE5">
        <w:rPr>
          <w:sz w:val="28"/>
          <w:szCs w:val="28"/>
        </w:rPr>
        <w:t>.</w:t>
      </w:r>
      <w:r w:rsidR="007F74BC">
        <w:rPr>
          <w:sz w:val="28"/>
          <w:szCs w:val="28"/>
        </w:rPr>
        <w:t xml:space="preserve"> Паничев</w:t>
      </w:r>
    </w:p>
    <w:p w:rsidR="00A97839" w:rsidRDefault="00A97839" w:rsidP="00A97839">
      <w:pPr>
        <w:ind w:left="-709"/>
        <w:jc w:val="both"/>
        <w:rPr>
          <w:bCs/>
          <w:szCs w:val="28"/>
        </w:rPr>
      </w:pPr>
    </w:p>
    <w:p w:rsidR="00A97839" w:rsidRPr="00F302B1" w:rsidRDefault="00A97839" w:rsidP="00A97839">
      <w:pPr>
        <w:ind w:left="-709"/>
        <w:jc w:val="both"/>
        <w:rPr>
          <w:sz w:val="28"/>
          <w:szCs w:val="28"/>
        </w:rPr>
      </w:pPr>
    </w:p>
    <w:p w:rsidR="00D66F4C" w:rsidRPr="00F302B1" w:rsidRDefault="00D66F4C" w:rsidP="000D3B6C">
      <w:pPr>
        <w:ind w:left="-709" w:firstLine="709"/>
        <w:jc w:val="both"/>
        <w:rPr>
          <w:sz w:val="28"/>
          <w:szCs w:val="28"/>
        </w:rPr>
      </w:pPr>
    </w:p>
    <w:p w:rsidR="00D66F4C" w:rsidRDefault="00D66F4C" w:rsidP="000D3B6C">
      <w:pPr>
        <w:ind w:left="-709" w:firstLine="709"/>
        <w:jc w:val="both"/>
        <w:rPr>
          <w:sz w:val="28"/>
        </w:rPr>
      </w:pPr>
    </w:p>
    <w:p w:rsidR="00F33D46" w:rsidRPr="00FE4929" w:rsidRDefault="00F33D46" w:rsidP="002D7341">
      <w:pPr>
        <w:ind w:left="-709" w:firstLine="709"/>
        <w:jc w:val="both"/>
        <w:rPr>
          <w:sz w:val="28"/>
        </w:rPr>
      </w:pPr>
    </w:p>
    <w:p w:rsidR="004477B9" w:rsidRDefault="004477B9" w:rsidP="002D7341">
      <w:pPr>
        <w:ind w:left="-709" w:firstLine="709"/>
        <w:jc w:val="both"/>
        <w:rPr>
          <w:sz w:val="28"/>
          <w:szCs w:val="28"/>
        </w:rPr>
      </w:pPr>
    </w:p>
    <w:p w:rsidR="003358B7" w:rsidRPr="00843ABE" w:rsidRDefault="003358B7" w:rsidP="002D7341">
      <w:pPr>
        <w:ind w:left="-709" w:firstLine="709"/>
        <w:jc w:val="both"/>
        <w:rPr>
          <w:sz w:val="28"/>
          <w:szCs w:val="28"/>
        </w:rPr>
      </w:pPr>
    </w:p>
    <w:sectPr w:rsidR="003358B7" w:rsidRPr="00843ABE" w:rsidSect="00851DE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BF0"/>
    <w:rsid w:val="00002D53"/>
    <w:rsid w:val="0003260E"/>
    <w:rsid w:val="00074BCD"/>
    <w:rsid w:val="000C4D8A"/>
    <w:rsid w:val="000D3B6C"/>
    <w:rsid w:val="000F2F11"/>
    <w:rsid w:val="000F399E"/>
    <w:rsid w:val="00140484"/>
    <w:rsid w:val="001561F8"/>
    <w:rsid w:val="00156897"/>
    <w:rsid w:val="001F5689"/>
    <w:rsid w:val="00216908"/>
    <w:rsid w:val="002310C8"/>
    <w:rsid w:val="002548EF"/>
    <w:rsid w:val="00270DDF"/>
    <w:rsid w:val="00285A37"/>
    <w:rsid w:val="0028797B"/>
    <w:rsid w:val="00295772"/>
    <w:rsid w:val="002B7C9F"/>
    <w:rsid w:val="002D7341"/>
    <w:rsid w:val="00321281"/>
    <w:rsid w:val="0032299F"/>
    <w:rsid w:val="003358B7"/>
    <w:rsid w:val="00351614"/>
    <w:rsid w:val="00361EAB"/>
    <w:rsid w:val="0036591D"/>
    <w:rsid w:val="00372B4C"/>
    <w:rsid w:val="00381831"/>
    <w:rsid w:val="003D6EF7"/>
    <w:rsid w:val="00400226"/>
    <w:rsid w:val="00437B57"/>
    <w:rsid w:val="004477B9"/>
    <w:rsid w:val="00462923"/>
    <w:rsid w:val="00492C04"/>
    <w:rsid w:val="00493BF0"/>
    <w:rsid w:val="0049464B"/>
    <w:rsid w:val="004C0894"/>
    <w:rsid w:val="005026C9"/>
    <w:rsid w:val="005059A7"/>
    <w:rsid w:val="00513E22"/>
    <w:rsid w:val="00582113"/>
    <w:rsid w:val="005832F4"/>
    <w:rsid w:val="00590B1B"/>
    <w:rsid w:val="005A14C8"/>
    <w:rsid w:val="005C0AFF"/>
    <w:rsid w:val="005C2F9D"/>
    <w:rsid w:val="005D110D"/>
    <w:rsid w:val="005D2D52"/>
    <w:rsid w:val="006353CF"/>
    <w:rsid w:val="0065581C"/>
    <w:rsid w:val="00680CCC"/>
    <w:rsid w:val="00684994"/>
    <w:rsid w:val="00687B41"/>
    <w:rsid w:val="006D6069"/>
    <w:rsid w:val="006F1251"/>
    <w:rsid w:val="006F5BB1"/>
    <w:rsid w:val="00710188"/>
    <w:rsid w:val="00765E7F"/>
    <w:rsid w:val="007667E5"/>
    <w:rsid w:val="00771BDD"/>
    <w:rsid w:val="007B4540"/>
    <w:rsid w:val="007B5F77"/>
    <w:rsid w:val="007D06D9"/>
    <w:rsid w:val="007F1B2C"/>
    <w:rsid w:val="007F74BC"/>
    <w:rsid w:val="00807061"/>
    <w:rsid w:val="00820085"/>
    <w:rsid w:val="00851DE8"/>
    <w:rsid w:val="00891A28"/>
    <w:rsid w:val="008B4438"/>
    <w:rsid w:val="008D1E37"/>
    <w:rsid w:val="008F6328"/>
    <w:rsid w:val="009425A6"/>
    <w:rsid w:val="009475FC"/>
    <w:rsid w:val="00966637"/>
    <w:rsid w:val="009767AA"/>
    <w:rsid w:val="00983EEB"/>
    <w:rsid w:val="00985A86"/>
    <w:rsid w:val="009919F9"/>
    <w:rsid w:val="009A03B9"/>
    <w:rsid w:val="009E5DE6"/>
    <w:rsid w:val="00A14A40"/>
    <w:rsid w:val="00A451A2"/>
    <w:rsid w:val="00A57794"/>
    <w:rsid w:val="00A90B68"/>
    <w:rsid w:val="00A971A8"/>
    <w:rsid w:val="00A97839"/>
    <w:rsid w:val="00AA475A"/>
    <w:rsid w:val="00AB6481"/>
    <w:rsid w:val="00AC4E52"/>
    <w:rsid w:val="00AD388F"/>
    <w:rsid w:val="00AD5C1E"/>
    <w:rsid w:val="00B2284A"/>
    <w:rsid w:val="00B63AB1"/>
    <w:rsid w:val="00B750F8"/>
    <w:rsid w:val="00B77020"/>
    <w:rsid w:val="00B770B2"/>
    <w:rsid w:val="00BD578D"/>
    <w:rsid w:val="00BF00FF"/>
    <w:rsid w:val="00BF0565"/>
    <w:rsid w:val="00BF08E7"/>
    <w:rsid w:val="00C32486"/>
    <w:rsid w:val="00C71D07"/>
    <w:rsid w:val="00C74817"/>
    <w:rsid w:val="00CA7677"/>
    <w:rsid w:val="00CD2FFF"/>
    <w:rsid w:val="00CF6786"/>
    <w:rsid w:val="00CF722E"/>
    <w:rsid w:val="00D1414D"/>
    <w:rsid w:val="00D1490F"/>
    <w:rsid w:val="00D27C56"/>
    <w:rsid w:val="00D32EDC"/>
    <w:rsid w:val="00D34FA1"/>
    <w:rsid w:val="00D51257"/>
    <w:rsid w:val="00D520B6"/>
    <w:rsid w:val="00D65384"/>
    <w:rsid w:val="00D66F4C"/>
    <w:rsid w:val="00D706B4"/>
    <w:rsid w:val="00D828BD"/>
    <w:rsid w:val="00D859A1"/>
    <w:rsid w:val="00D919E3"/>
    <w:rsid w:val="00DA0B6C"/>
    <w:rsid w:val="00DC2E0F"/>
    <w:rsid w:val="00DD2174"/>
    <w:rsid w:val="00E16192"/>
    <w:rsid w:val="00E16A43"/>
    <w:rsid w:val="00E40674"/>
    <w:rsid w:val="00E56189"/>
    <w:rsid w:val="00E627E3"/>
    <w:rsid w:val="00E94730"/>
    <w:rsid w:val="00EC1B1C"/>
    <w:rsid w:val="00EE7C1C"/>
    <w:rsid w:val="00EF04B2"/>
    <w:rsid w:val="00F1489A"/>
    <w:rsid w:val="00F20D28"/>
    <w:rsid w:val="00F26263"/>
    <w:rsid w:val="00F33D46"/>
    <w:rsid w:val="00F4050F"/>
    <w:rsid w:val="00F5517C"/>
    <w:rsid w:val="00F6579E"/>
    <w:rsid w:val="00F73C0A"/>
    <w:rsid w:val="00FB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7A8B3-33FC-4B35-BD53-149AE401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58B7"/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rsid w:val="00B63A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rsid w:val="00AC4E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4E5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767A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9767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CA7677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A76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3">
    <w:name w:val="Font Style13"/>
    <w:rsid w:val="004C0894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_"/>
    <w:link w:val="30"/>
    <w:locked/>
    <w:rsid w:val="004C089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894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78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D520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20B6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user</cp:lastModifiedBy>
  <cp:revision>119</cp:revision>
  <cp:lastPrinted>2018-10-12T04:42:00Z</cp:lastPrinted>
  <dcterms:created xsi:type="dcterms:W3CDTF">2017-06-19T06:48:00Z</dcterms:created>
  <dcterms:modified xsi:type="dcterms:W3CDTF">2021-10-25T07:24:00Z</dcterms:modified>
</cp:coreProperties>
</file>